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맑은 고딕" w:hAnsi="맑은 고딕" w:eastAsia="맑은 고딕"/>
          <w:b/>
          <w:sz w:val="32"/>
        </w:rPr>
        <w:t>GS칼텍스 예울마루 개인정보 처리방침</w:t>
      </w:r>
    </w:p>
    <w:p>
      <w:pPr>
        <w:ind w:left="240"/>
      </w:pPr>
      <w:r>
        <w:rPr>
          <w:rFonts w:ascii="맑은 고딕" w:hAnsi="맑은 고딕" w:eastAsia="맑은 고딕"/>
          <w:color w:val="808080"/>
          <w:sz w:val="19"/>
        </w:rPr>
        <w:t>시행일: 2026. 9. 4. / 직전 버전: 2025. 2. 11.</w:t>
      </w:r>
    </w:p>
    <w:p>
      <w:r>
        <w:rPr>
          <w:rFonts w:ascii="맑은 고딕" w:hAnsi="맑은 고딕" w:eastAsia="맑은 고딕"/>
          <w:sz w:val="21"/>
        </w:rPr>
        <w:t>GS칼텍스 예울마루(운영: GS칼텍스 예울마루 수탁운영 재단법인 GS칼텍스재단, 이하 "예울마루")는 「개인정보 보호법」 제30조에 따라 정보주체의 개인정보를 보호하고 이와 관련한 고충을 신속하고 원활하게 처리할 수 있도록 다음과 같이 개인정보 처리방침을 수립·공개합니다.</w:t>
      </w:r>
    </w:p>
    <w:p>
      <w:pPr>
        <w:spacing w:before="200" w:after="80"/>
      </w:pPr>
      <w:r>
        <w:rPr>
          <w:rFonts w:ascii="맑은 고딕" w:hAnsi="맑은 고딕" w:eastAsia="맑은 고딕"/>
          <w:b/>
          <w:sz w:val="26"/>
        </w:rPr>
        <w:t>제1조 (개인정보의 처리 목적, 처리 항목, 보유·이용기간 및 처리 근거)</w:t>
      </w:r>
    </w:p>
    <w:p>
      <w:r>
        <w:rPr>
          <w:rFonts w:ascii="맑은 고딕" w:hAnsi="맑은 고딕" w:eastAsia="맑은 고딕"/>
          <w:sz w:val="21"/>
        </w:rPr>
        <w:t>① 예울마루는 다음의 목적을 위하여 개인정보를 처리합니다. 처리하는 개인정보는 다음 목적 이외의 용도로는 이용하지 않으며, 목적이 변경되는 경우에는 「개인정보 보호법」 제18조에 따라 별도의 동의를 받는 등 필요한 조치를 이행합니다.</w:t>
      </w:r>
    </w:p>
    <w:tbl>
      <w:tblPr>
        <w:tblStyle w:val="TableGrid"/>
        <w:tblW w:type="auto" w:w="0"/>
        <w:tblLook w:firstColumn="1" w:firstRow="1" w:lastColumn="0" w:lastRow="0" w:noHBand="0" w:noVBand="1" w:val="04A0"/>
      </w:tblPr>
      <w:tblGrid>
        <w:gridCol w:w="1968"/>
        <w:gridCol w:w="1968"/>
        <w:gridCol w:w="1968"/>
        <w:gridCol w:w="1968"/>
        <w:gridCol w:w="1968"/>
      </w:tblGrid>
      <w:tr>
        <w:tc>
          <w:tcPr>
            <w:tcW w:type="dxa" w:w="1968"/>
            <w:shd w:val="clear" w:color="auto" w:fill="E7E6E6"/>
          </w:tcPr>
          <w:p>
            <w:r>
              <w:rPr>
                <w:b/>
              </w:rPr>
            </w:r>
            <w:r>
              <w:rPr>
                <w:rFonts w:ascii="맑은 고딕" w:hAnsi="맑은 고딕" w:eastAsia="맑은 고딕"/>
                <w:b/>
                <w:sz w:val="19"/>
              </w:rPr>
              <w:t>구분</w:t>
            </w:r>
          </w:p>
        </w:tc>
        <w:tc>
          <w:tcPr>
            <w:tcW w:type="dxa" w:w="1968"/>
            <w:shd w:val="clear" w:color="auto" w:fill="E7E6E6"/>
          </w:tcPr>
          <w:p>
            <w:r>
              <w:rPr>
                <w:b/>
              </w:rPr>
            </w:r>
            <w:r>
              <w:rPr>
                <w:rFonts w:ascii="맑은 고딕" w:hAnsi="맑은 고딕" w:eastAsia="맑은 고딕"/>
                <w:b/>
                <w:sz w:val="19"/>
              </w:rPr>
              <w:t>처리 목적</w:t>
            </w:r>
          </w:p>
        </w:tc>
        <w:tc>
          <w:tcPr>
            <w:tcW w:type="dxa" w:w="1968"/>
            <w:shd w:val="clear" w:color="auto" w:fill="E7E6E6"/>
          </w:tcPr>
          <w:p>
            <w:r>
              <w:rPr>
                <w:b/>
              </w:rPr>
            </w:r>
            <w:r>
              <w:rPr>
                <w:rFonts w:ascii="맑은 고딕" w:hAnsi="맑은 고딕" w:eastAsia="맑은 고딕"/>
                <w:b/>
                <w:sz w:val="19"/>
              </w:rPr>
              <w:t>처리 항목</w:t>
            </w:r>
          </w:p>
        </w:tc>
        <w:tc>
          <w:tcPr>
            <w:tcW w:type="dxa" w:w="1968"/>
            <w:shd w:val="clear" w:color="auto" w:fill="E7E6E6"/>
          </w:tcPr>
          <w:p>
            <w:r>
              <w:rPr>
                <w:b/>
              </w:rPr>
            </w:r>
            <w:r>
              <w:rPr>
                <w:rFonts w:ascii="맑은 고딕" w:hAnsi="맑은 고딕" w:eastAsia="맑은 고딕"/>
                <w:b/>
                <w:sz w:val="19"/>
              </w:rPr>
              <w:t>보유·이용기간</w:t>
            </w:r>
          </w:p>
        </w:tc>
        <w:tc>
          <w:tcPr>
            <w:tcW w:type="dxa" w:w="1968"/>
            <w:shd w:val="clear" w:color="auto" w:fill="E7E6E6"/>
          </w:tcPr>
          <w:p>
            <w:r>
              <w:rPr>
                <w:b/>
              </w:rPr>
            </w:r>
            <w:r>
              <w:rPr>
                <w:rFonts w:ascii="맑은 고딕" w:hAnsi="맑은 고딕" w:eastAsia="맑은 고딕"/>
                <w:b/>
                <w:sz w:val="19"/>
              </w:rPr>
              <w:t>처리 근거</w:t>
            </w:r>
          </w:p>
        </w:tc>
      </w:tr>
      <w:tr>
        <w:tc>
          <w:tcPr>
            <w:tcW w:type="dxa" w:w="1968"/>
          </w:tcPr>
          <w:p>
            <w:r/>
            <w:r>
              <w:rPr>
                <w:rFonts w:ascii="맑은 고딕" w:hAnsi="맑은 고딕" w:eastAsia="맑은 고딕"/>
                <w:sz w:val="19"/>
              </w:rPr>
              <w:t>홈페이지 회원가입 및 관리</w:t>
            </w:r>
          </w:p>
        </w:tc>
        <w:tc>
          <w:tcPr>
            <w:tcW w:type="dxa" w:w="1968"/>
          </w:tcPr>
          <w:p>
            <w:r/>
            <w:r>
              <w:rPr>
                <w:rFonts w:ascii="맑은 고딕" w:hAnsi="맑은 고딕" w:eastAsia="맑은 고딕"/>
                <w:sz w:val="19"/>
              </w:rPr>
              <w:t>회원가입 의사 확인, 회원제 서비스 제공에 따른 본인 식별·인증, 회원자격 유지·관리, 서비스 부정이용 방지, 각종 고지·통지, 민원 처리</w:t>
            </w:r>
          </w:p>
        </w:tc>
        <w:tc>
          <w:tcPr>
            <w:tcW w:type="dxa" w:w="1968"/>
          </w:tcPr>
          <w:p>
            <w:r/>
            <w:r>
              <w:rPr>
                <w:rFonts w:ascii="맑은 고딕" w:hAnsi="맑은 고딕" w:eastAsia="맑은 고딕"/>
                <w:sz w:val="19"/>
              </w:rPr>
              <w:t>(필수) 아이디, 비밀번호, 성명, 생년월일, 휴대전화번호, 이메일, 주소 / 본인인증 시 본인확인기관으로부터 수신하는 연계정보(CI)·중복가입확인정보(DI), 성별, 내·외국인 여부</w:t>
            </w:r>
          </w:p>
        </w:tc>
        <w:tc>
          <w:tcPr>
            <w:tcW w:type="dxa" w:w="1968"/>
          </w:tcPr>
          <w:p>
            <w:r/>
            <w:r>
              <w:rPr>
                <w:rFonts w:ascii="맑은 고딕" w:hAnsi="맑은 고딕" w:eastAsia="맑은 고딕"/>
                <w:sz w:val="19"/>
              </w:rPr>
              <w:t>회원 탈퇴 시까지 (최종 접속일로부터 2년간 이용 기록이 없는 회원은 휴면계정으로 전환, 제5항)</w:t>
            </w:r>
          </w:p>
        </w:tc>
        <w:tc>
          <w:tcPr>
            <w:tcW w:type="dxa" w:w="1968"/>
          </w:tcPr>
          <w:p>
            <w:r/>
            <w:r>
              <w:rPr>
                <w:rFonts w:ascii="맑은 고딕" w:hAnsi="맑은 고딕" w:eastAsia="맑은 고딕"/>
                <w:sz w:val="19"/>
              </w:rPr>
              <w:t>법 제15조제1항제1호(동의), 제4호(계약 이행)</w:t>
            </w:r>
          </w:p>
        </w:tc>
      </w:tr>
      <w:tr>
        <w:tc>
          <w:tcPr>
            <w:tcW w:type="dxa" w:w="1968"/>
          </w:tcPr>
          <w:p>
            <w:r/>
            <w:r>
              <w:rPr>
                <w:rFonts w:ascii="맑은 고딕" w:hAnsi="맑은 고딕" w:eastAsia="맑은 고딕"/>
                <w:sz w:val="19"/>
              </w:rPr>
              <w:t>공연·전시·교육 프로그램 예매 및 결제</w:t>
            </w:r>
          </w:p>
        </w:tc>
        <w:tc>
          <w:tcPr>
            <w:tcW w:type="dxa" w:w="1968"/>
          </w:tcPr>
          <w:p>
            <w:r/>
            <w:r>
              <w:rPr>
                <w:rFonts w:ascii="맑은 고딕" w:hAnsi="맑은 고딕" w:eastAsia="맑은 고딕"/>
                <w:sz w:val="19"/>
              </w:rPr>
              <w:t>티켓 예매·발권, 요금 결제 및 환불, 예매 내역 확인·취소, 관람 안내 및 입장 확인, 결제·정산</w:t>
            </w:r>
          </w:p>
        </w:tc>
        <w:tc>
          <w:tcPr>
            <w:tcW w:type="dxa" w:w="1968"/>
          </w:tcPr>
          <w:p>
            <w:r/>
            <w:r>
              <w:rPr>
                <w:rFonts w:ascii="맑은 고딕" w:hAnsi="맑은 고딕" w:eastAsia="맑은 고딕"/>
                <w:sz w:val="19"/>
              </w:rPr>
              <w:t>성명, 휴대전화번호, 이메일, 예매·취소·환불 내역, 결제수단 정보(카드사명·승인번호 등 결제대행사가 제공하는 정보), 환불계좌 정보(현금 결제 환불 시)</w:t>
            </w:r>
          </w:p>
        </w:tc>
        <w:tc>
          <w:tcPr>
            <w:tcW w:type="dxa" w:w="1968"/>
          </w:tcPr>
          <w:p>
            <w:r/>
            <w:r>
              <w:rPr>
                <w:rFonts w:ascii="맑은 고딕" w:hAnsi="맑은 고딕" w:eastAsia="맑은 고딕"/>
                <w:sz w:val="19"/>
              </w:rPr>
              <w:t>예매 서비스 제공 완료 후 지체 없이 파기. 다만 제2항의 법정 보존기간 동안 분리 보존</w:t>
            </w:r>
          </w:p>
        </w:tc>
        <w:tc>
          <w:tcPr>
            <w:tcW w:type="dxa" w:w="1968"/>
          </w:tcPr>
          <w:p>
            <w:r/>
            <w:r>
              <w:rPr>
                <w:rFonts w:ascii="맑은 고딕" w:hAnsi="맑은 고딕" w:eastAsia="맑은 고딕"/>
                <w:sz w:val="19"/>
              </w:rPr>
              <w:t>법 제15조제1항제4호(계약 이행)</w:t>
            </w:r>
          </w:p>
        </w:tc>
      </w:tr>
      <w:tr>
        <w:tc>
          <w:tcPr>
            <w:tcW w:type="dxa" w:w="1968"/>
          </w:tcPr>
          <w:p>
            <w:r/>
            <w:r>
              <w:rPr>
                <w:rFonts w:ascii="맑은 고딕" w:hAnsi="맑은 고딕" w:eastAsia="맑은 고딕"/>
                <w:sz w:val="19"/>
              </w:rPr>
              <w:t>예술교육(강좌) 수강 신청</w:t>
            </w:r>
          </w:p>
        </w:tc>
        <w:tc>
          <w:tcPr>
            <w:tcW w:type="dxa" w:w="1968"/>
          </w:tcPr>
          <w:p>
            <w:r/>
            <w:r>
              <w:rPr>
                <w:rFonts w:ascii="맑은 고딕" w:hAnsi="맑은 고딕" w:eastAsia="맑은 고딕"/>
                <w:sz w:val="19"/>
              </w:rPr>
              <w:t>수강 신청자 본인·가족회원 확인, 결제 확인, 수업 안내</w:t>
            </w:r>
          </w:p>
        </w:tc>
        <w:tc>
          <w:tcPr>
            <w:tcW w:type="dxa" w:w="1968"/>
          </w:tcPr>
          <w:p>
            <w:r/>
            <w:r>
              <w:rPr>
                <w:rFonts w:ascii="맑은 고딕" w:hAnsi="맑은 고딕" w:eastAsia="맑은 고딕"/>
                <w:sz w:val="19"/>
              </w:rPr>
              <w:t>성명, 휴대전화번호, 이메일, 주소</w:t>
            </w:r>
          </w:p>
        </w:tc>
        <w:tc>
          <w:tcPr>
            <w:tcW w:type="dxa" w:w="1968"/>
          </w:tcPr>
          <w:p>
            <w:r/>
            <w:r>
              <w:rPr>
                <w:rFonts w:ascii="맑은 고딕" w:hAnsi="맑은 고딕" w:eastAsia="맑은 고딕"/>
                <w:sz w:val="19"/>
              </w:rPr>
              <w:t>강좌 종료 후 3년</w:t>
            </w:r>
          </w:p>
        </w:tc>
        <w:tc>
          <w:tcPr>
            <w:tcW w:type="dxa" w:w="1968"/>
          </w:tcPr>
          <w:p>
            <w:r/>
            <w:r>
              <w:rPr>
                <w:rFonts w:ascii="맑은 고딕" w:hAnsi="맑은 고딕" w:eastAsia="맑은 고딕"/>
                <w:sz w:val="19"/>
              </w:rPr>
              <w:t>법 제15조제1항제1호·제4호</w:t>
            </w:r>
          </w:p>
        </w:tc>
      </w:tr>
      <w:tr>
        <w:tc>
          <w:tcPr>
            <w:tcW w:type="dxa" w:w="1968"/>
          </w:tcPr>
          <w:p>
            <w:r/>
            <w:r>
              <w:rPr>
                <w:rFonts w:ascii="맑은 고딕" w:hAnsi="맑은 고딕" w:eastAsia="맑은 고딕"/>
                <w:sz w:val="19"/>
              </w:rPr>
              <w:t>마케팅·광고 활용 (선택)</w:t>
            </w:r>
          </w:p>
        </w:tc>
        <w:tc>
          <w:tcPr>
            <w:tcW w:type="dxa" w:w="1968"/>
          </w:tcPr>
          <w:p>
            <w:r/>
            <w:r>
              <w:rPr>
                <w:rFonts w:ascii="맑은 고딕" w:hAnsi="맑은 고딕" w:eastAsia="맑은 고딕"/>
                <w:sz w:val="19"/>
              </w:rPr>
              <w:t>공연·전시·교육 프로그램 안내, 이벤트·뉴스레터 등 광고성 정보 전송</w:t>
            </w:r>
          </w:p>
        </w:tc>
        <w:tc>
          <w:tcPr>
            <w:tcW w:type="dxa" w:w="1968"/>
          </w:tcPr>
          <w:p>
            <w:r/>
            <w:r>
              <w:rPr>
                <w:rFonts w:ascii="맑은 고딕" w:hAnsi="맑은 고딕" w:eastAsia="맑은 고딕"/>
                <w:sz w:val="19"/>
              </w:rPr>
              <w:t>이메일, 휴대전화번호</w:t>
            </w:r>
          </w:p>
        </w:tc>
        <w:tc>
          <w:tcPr>
            <w:tcW w:type="dxa" w:w="1968"/>
          </w:tcPr>
          <w:p>
            <w:r/>
            <w:r>
              <w:rPr>
                <w:rFonts w:ascii="맑은 고딕" w:hAnsi="맑은 고딕" w:eastAsia="맑은 고딕"/>
                <w:sz w:val="19"/>
              </w:rPr>
              <w:t>회원 탈퇴 또는 동의 철회 시까지</w:t>
            </w:r>
          </w:p>
        </w:tc>
        <w:tc>
          <w:tcPr>
            <w:tcW w:type="dxa" w:w="1968"/>
          </w:tcPr>
          <w:p>
            <w:r/>
            <w:r>
              <w:rPr>
                <w:rFonts w:ascii="맑은 고딕" w:hAnsi="맑은 고딕" w:eastAsia="맑은 고딕"/>
                <w:sz w:val="19"/>
              </w:rPr>
              <w:t>법 제15조제1항제1호(별도 동의)</w:t>
            </w:r>
          </w:p>
        </w:tc>
      </w:tr>
      <w:tr>
        <w:tc>
          <w:tcPr>
            <w:tcW w:type="dxa" w:w="1968"/>
          </w:tcPr>
          <w:p>
            <w:r/>
            <w:r>
              <w:rPr>
                <w:rFonts w:ascii="맑은 고딕" w:hAnsi="맑은 고딕" w:eastAsia="맑은 고딕"/>
                <w:sz w:val="19"/>
              </w:rPr>
              <w:t>고객 문의·민원 처리</w:t>
            </w:r>
          </w:p>
        </w:tc>
        <w:tc>
          <w:tcPr>
            <w:tcW w:type="dxa" w:w="1968"/>
          </w:tcPr>
          <w:p>
            <w:r/>
            <w:r>
              <w:rPr>
                <w:rFonts w:ascii="맑은 고딕" w:hAnsi="맑은 고딕" w:eastAsia="맑은 고딕"/>
                <w:sz w:val="19"/>
              </w:rPr>
              <w:t>민원인 신원 확인, 사실조사를 위한 연락·통지, 처리 결과 통보</w:t>
            </w:r>
          </w:p>
        </w:tc>
        <w:tc>
          <w:tcPr>
            <w:tcW w:type="dxa" w:w="1968"/>
          </w:tcPr>
          <w:p>
            <w:r/>
            <w:r>
              <w:rPr>
                <w:rFonts w:ascii="맑은 고딕" w:hAnsi="맑은 고딕" w:eastAsia="맑은 고딕"/>
                <w:sz w:val="19"/>
              </w:rPr>
              <w:t>성명, 연락처, 문의 내용</w:t>
            </w:r>
          </w:p>
        </w:tc>
        <w:tc>
          <w:tcPr>
            <w:tcW w:type="dxa" w:w="1968"/>
          </w:tcPr>
          <w:p>
            <w:r/>
            <w:r>
              <w:rPr>
                <w:rFonts w:ascii="맑은 고딕" w:hAnsi="맑은 고딕" w:eastAsia="맑은 고딕"/>
                <w:sz w:val="19"/>
              </w:rPr>
              <w:t>처리 완료 후 3년</w:t>
            </w:r>
          </w:p>
        </w:tc>
        <w:tc>
          <w:tcPr>
            <w:tcW w:type="dxa" w:w="1968"/>
          </w:tcPr>
          <w:p>
            <w:r/>
            <w:r>
              <w:rPr>
                <w:rFonts w:ascii="맑은 고딕" w:hAnsi="맑은 고딕" w:eastAsia="맑은 고딕"/>
                <w:sz w:val="19"/>
              </w:rPr>
              <w:t>법 제15조제1항제1호·제4호</w:t>
            </w:r>
          </w:p>
        </w:tc>
      </w:tr>
      <w:tr>
        <w:tc>
          <w:tcPr>
            <w:tcW w:type="dxa" w:w="1968"/>
          </w:tcPr>
          <w:p>
            <w:r/>
            <w:r>
              <w:rPr>
                <w:rFonts w:ascii="맑은 고딕" w:hAnsi="맑은 고딕" w:eastAsia="맑은 고딕"/>
                <w:sz w:val="19"/>
              </w:rPr>
              <w:t>서비스 이용 과정에서 자동 생성</w:t>
            </w:r>
          </w:p>
        </w:tc>
        <w:tc>
          <w:tcPr>
            <w:tcW w:type="dxa" w:w="1968"/>
          </w:tcPr>
          <w:p>
            <w:r/>
            <w:r>
              <w:rPr>
                <w:rFonts w:ascii="맑은 고딕" w:hAnsi="맑은 고딕" w:eastAsia="맑은 고딕"/>
                <w:sz w:val="19"/>
              </w:rPr>
              <w:t>접속 기록 보관, 부정이용 방지, 서비스 개선</w:t>
            </w:r>
          </w:p>
        </w:tc>
        <w:tc>
          <w:tcPr>
            <w:tcW w:type="dxa" w:w="1968"/>
          </w:tcPr>
          <w:p>
            <w:r/>
            <w:r>
              <w:rPr>
                <w:rFonts w:ascii="맑은 고딕" w:hAnsi="맑은 고딕" w:eastAsia="맑은 고딕"/>
                <w:sz w:val="19"/>
              </w:rPr>
              <w:t>접속 IP, 쿠키, 접속 일시, 서비스 이용 기록, 기기 정보</w:t>
            </w:r>
          </w:p>
        </w:tc>
        <w:tc>
          <w:tcPr>
            <w:tcW w:type="dxa" w:w="1968"/>
          </w:tcPr>
          <w:p>
            <w:r/>
            <w:r>
              <w:rPr>
                <w:rFonts w:ascii="맑은 고딕" w:hAnsi="맑은 고딕" w:eastAsia="맑은 고딕"/>
                <w:sz w:val="19"/>
              </w:rPr>
              <w:t>「통신비밀보호법」에 따라 3개월, 그 외 목적 달성 시까지</w:t>
            </w:r>
          </w:p>
        </w:tc>
        <w:tc>
          <w:tcPr>
            <w:tcW w:type="dxa" w:w="1968"/>
          </w:tcPr>
          <w:p>
            <w:r/>
            <w:r>
              <w:rPr>
                <w:rFonts w:ascii="맑은 고딕" w:hAnsi="맑은 고딕" w:eastAsia="맑은 고딕"/>
                <w:sz w:val="19"/>
              </w:rPr>
              <w:t>법 제15조제1항제2호·제4호·제6호</w:t>
            </w:r>
          </w:p>
        </w:tc>
      </w:tr>
    </w:tbl>
    <w:p/>
    <w:p>
      <w:r>
        <w:rPr>
          <w:rFonts w:ascii="맑은 고딕" w:hAnsi="맑은 고딕" w:eastAsia="맑은 고딕"/>
          <w:sz w:val="21"/>
        </w:rPr>
        <w:t>② 예울마루는 관계 법령에 따라 다음의 개인정보를 보존기간 동안 다른 개인정보와 분리하여 보관합니다.</w:t>
      </w:r>
    </w:p>
    <w:tbl>
      <w:tblPr>
        <w:tblStyle w:val="TableGrid"/>
        <w:tblW w:type="auto" w:w="0"/>
        <w:tblLook w:firstColumn="1" w:firstRow="1" w:lastColumn="0" w:lastRow="0" w:noHBand="0" w:noVBand="1" w:val="04A0"/>
      </w:tblPr>
      <w:tblGrid>
        <w:gridCol w:w="3280"/>
        <w:gridCol w:w="3280"/>
        <w:gridCol w:w="3280"/>
      </w:tblGrid>
      <w:tr>
        <w:tc>
          <w:tcPr>
            <w:tcW w:type="dxa" w:w="3280"/>
            <w:shd w:val="clear" w:color="auto" w:fill="E7E6E6"/>
          </w:tcPr>
          <w:p>
            <w:r>
              <w:rPr>
                <w:b/>
              </w:rPr>
            </w:r>
            <w:r>
              <w:rPr>
                <w:rFonts w:ascii="맑은 고딕" w:hAnsi="맑은 고딕" w:eastAsia="맑은 고딕"/>
                <w:b/>
                <w:sz w:val="19"/>
              </w:rPr>
              <w:t>보존 항목</w:t>
            </w:r>
          </w:p>
        </w:tc>
        <w:tc>
          <w:tcPr>
            <w:tcW w:type="dxa" w:w="3280"/>
            <w:shd w:val="clear" w:color="auto" w:fill="E7E6E6"/>
          </w:tcPr>
          <w:p>
            <w:r>
              <w:rPr>
                <w:b/>
              </w:rPr>
            </w:r>
            <w:r>
              <w:rPr>
                <w:rFonts w:ascii="맑은 고딕" w:hAnsi="맑은 고딕" w:eastAsia="맑은 고딕"/>
                <w:b/>
                <w:sz w:val="19"/>
              </w:rPr>
              <w:t>보존 근거</w:t>
            </w:r>
          </w:p>
        </w:tc>
        <w:tc>
          <w:tcPr>
            <w:tcW w:type="dxa" w:w="3280"/>
            <w:shd w:val="clear" w:color="auto" w:fill="E7E6E6"/>
          </w:tcPr>
          <w:p>
            <w:r>
              <w:rPr>
                <w:b/>
              </w:rPr>
            </w:r>
            <w:r>
              <w:rPr>
                <w:rFonts w:ascii="맑은 고딕" w:hAnsi="맑은 고딕" w:eastAsia="맑은 고딕"/>
                <w:b/>
                <w:sz w:val="19"/>
              </w:rPr>
              <w:t>보존 기간</w:t>
            </w:r>
          </w:p>
        </w:tc>
      </w:tr>
      <w:tr>
        <w:tc>
          <w:tcPr>
            <w:tcW w:type="dxa" w:w="3280"/>
          </w:tcPr>
          <w:p>
            <w:r/>
            <w:r>
              <w:rPr>
                <w:rFonts w:ascii="맑은 고딕" w:hAnsi="맑은 고딕" w:eastAsia="맑은 고딕"/>
                <w:sz w:val="19"/>
              </w:rPr>
              <w:t>계약 또는 청약철회 등에 관한 기록</w:t>
            </w:r>
          </w:p>
        </w:tc>
        <w:tc>
          <w:tcPr>
            <w:tcW w:type="dxa" w:w="3280"/>
          </w:tcPr>
          <w:p>
            <w:r/>
            <w:r>
              <w:rPr>
                <w:rFonts w:ascii="맑은 고딕" w:hAnsi="맑은 고딕" w:eastAsia="맑은 고딕"/>
                <w:sz w:val="19"/>
              </w:rPr>
              <w:t>「전자상거래 등에서의 소비자보호에 관한 법률」 제6조, 시행령 제6조</w:t>
            </w:r>
          </w:p>
        </w:tc>
        <w:tc>
          <w:tcPr>
            <w:tcW w:type="dxa" w:w="3280"/>
          </w:tcPr>
          <w:p>
            <w:r/>
            <w:r>
              <w:rPr>
                <w:rFonts w:ascii="맑은 고딕" w:hAnsi="맑은 고딕" w:eastAsia="맑은 고딕"/>
                <w:sz w:val="19"/>
              </w:rPr>
              <w:t>5년</w:t>
            </w:r>
          </w:p>
        </w:tc>
      </w:tr>
      <w:tr>
        <w:tc>
          <w:tcPr>
            <w:tcW w:type="dxa" w:w="3280"/>
          </w:tcPr>
          <w:p>
            <w:r/>
            <w:r>
              <w:rPr>
                <w:rFonts w:ascii="맑은 고딕" w:hAnsi="맑은 고딕" w:eastAsia="맑은 고딕"/>
                <w:sz w:val="19"/>
              </w:rPr>
              <w:t>대금결제 및 재화 등의 공급에 관한 기록</w:t>
            </w:r>
          </w:p>
        </w:tc>
        <w:tc>
          <w:tcPr>
            <w:tcW w:type="dxa" w:w="3280"/>
          </w:tcPr>
          <w:p>
            <w:r/>
            <w:r>
              <w:rPr>
                <w:rFonts w:ascii="맑은 고딕" w:hAnsi="맑은 고딕" w:eastAsia="맑은 고딕"/>
                <w:sz w:val="19"/>
              </w:rPr>
              <w:t>같은 법</w:t>
            </w:r>
          </w:p>
        </w:tc>
        <w:tc>
          <w:tcPr>
            <w:tcW w:type="dxa" w:w="3280"/>
          </w:tcPr>
          <w:p>
            <w:r/>
            <w:r>
              <w:rPr>
                <w:rFonts w:ascii="맑은 고딕" w:hAnsi="맑은 고딕" w:eastAsia="맑은 고딕"/>
                <w:sz w:val="19"/>
              </w:rPr>
              <w:t>5년</w:t>
            </w:r>
          </w:p>
        </w:tc>
      </w:tr>
      <w:tr>
        <w:tc>
          <w:tcPr>
            <w:tcW w:type="dxa" w:w="3280"/>
          </w:tcPr>
          <w:p>
            <w:r/>
            <w:r>
              <w:rPr>
                <w:rFonts w:ascii="맑은 고딕" w:hAnsi="맑은 고딕" w:eastAsia="맑은 고딕"/>
                <w:sz w:val="19"/>
              </w:rPr>
              <w:t>소비자의 불만 또는 분쟁처리에 관한 기록</w:t>
            </w:r>
          </w:p>
        </w:tc>
        <w:tc>
          <w:tcPr>
            <w:tcW w:type="dxa" w:w="3280"/>
          </w:tcPr>
          <w:p>
            <w:r/>
            <w:r>
              <w:rPr>
                <w:rFonts w:ascii="맑은 고딕" w:hAnsi="맑은 고딕" w:eastAsia="맑은 고딕"/>
                <w:sz w:val="19"/>
              </w:rPr>
              <w:t>같은 법</w:t>
            </w:r>
          </w:p>
        </w:tc>
        <w:tc>
          <w:tcPr>
            <w:tcW w:type="dxa" w:w="3280"/>
          </w:tcPr>
          <w:p>
            <w:r/>
            <w:r>
              <w:rPr>
                <w:rFonts w:ascii="맑은 고딕" w:hAnsi="맑은 고딕" w:eastAsia="맑은 고딕"/>
                <w:sz w:val="19"/>
              </w:rPr>
              <w:t>3년</w:t>
            </w:r>
          </w:p>
        </w:tc>
      </w:tr>
      <w:tr>
        <w:tc>
          <w:tcPr>
            <w:tcW w:type="dxa" w:w="3280"/>
          </w:tcPr>
          <w:p>
            <w:r/>
            <w:r>
              <w:rPr>
                <w:rFonts w:ascii="맑은 고딕" w:hAnsi="맑은 고딕" w:eastAsia="맑은 고딕"/>
                <w:sz w:val="19"/>
              </w:rPr>
              <w:t>표시·광고에 관한 기록</w:t>
            </w:r>
          </w:p>
        </w:tc>
        <w:tc>
          <w:tcPr>
            <w:tcW w:type="dxa" w:w="3280"/>
          </w:tcPr>
          <w:p>
            <w:r/>
            <w:r>
              <w:rPr>
                <w:rFonts w:ascii="맑은 고딕" w:hAnsi="맑은 고딕" w:eastAsia="맑은 고딕"/>
                <w:sz w:val="19"/>
              </w:rPr>
              <w:t>같은 법</w:t>
            </w:r>
          </w:p>
        </w:tc>
        <w:tc>
          <w:tcPr>
            <w:tcW w:type="dxa" w:w="3280"/>
          </w:tcPr>
          <w:p>
            <w:r/>
            <w:r>
              <w:rPr>
                <w:rFonts w:ascii="맑은 고딕" w:hAnsi="맑은 고딕" w:eastAsia="맑은 고딕"/>
                <w:sz w:val="19"/>
              </w:rPr>
              <w:t>6개월</w:t>
            </w:r>
          </w:p>
        </w:tc>
      </w:tr>
      <w:tr>
        <w:tc>
          <w:tcPr>
            <w:tcW w:type="dxa" w:w="3280"/>
          </w:tcPr>
          <w:p>
            <w:r/>
            <w:r>
              <w:rPr>
                <w:rFonts w:ascii="맑은 고딕" w:hAnsi="맑은 고딕" w:eastAsia="맑은 고딕"/>
                <w:sz w:val="19"/>
              </w:rPr>
              <w:t>웹사이트 방문(접속) 기록</w:t>
            </w:r>
          </w:p>
        </w:tc>
        <w:tc>
          <w:tcPr>
            <w:tcW w:type="dxa" w:w="3280"/>
          </w:tcPr>
          <w:p>
            <w:r/>
            <w:r>
              <w:rPr>
                <w:rFonts w:ascii="맑은 고딕" w:hAnsi="맑은 고딕" w:eastAsia="맑은 고딕"/>
                <w:sz w:val="19"/>
              </w:rPr>
              <w:t>「통신비밀보호법」 제15조의2, 시행령 제41조</w:t>
            </w:r>
          </w:p>
        </w:tc>
        <w:tc>
          <w:tcPr>
            <w:tcW w:type="dxa" w:w="3280"/>
          </w:tcPr>
          <w:p>
            <w:r/>
            <w:r>
              <w:rPr>
                <w:rFonts w:ascii="맑은 고딕" w:hAnsi="맑은 고딕" w:eastAsia="맑은 고딕"/>
                <w:sz w:val="19"/>
              </w:rPr>
              <w:t>3개월</w:t>
            </w:r>
          </w:p>
        </w:tc>
      </w:tr>
      <w:tr>
        <w:tc>
          <w:tcPr>
            <w:tcW w:type="dxa" w:w="3280"/>
          </w:tcPr>
          <w:p>
            <w:r/>
            <w:r>
              <w:rPr>
                <w:rFonts w:ascii="맑은 고딕" w:hAnsi="맑은 고딕" w:eastAsia="맑은 고딕"/>
                <w:sz w:val="19"/>
              </w:rPr>
              <w:t>세법이 규정하는 거래 관련 장부 및 증빙서류</w:t>
            </w:r>
          </w:p>
        </w:tc>
        <w:tc>
          <w:tcPr>
            <w:tcW w:type="dxa" w:w="3280"/>
          </w:tcPr>
          <w:p>
            <w:r/>
            <w:r>
              <w:rPr>
                <w:rFonts w:ascii="맑은 고딕" w:hAnsi="맑은 고딕" w:eastAsia="맑은 고딕"/>
                <w:sz w:val="19"/>
              </w:rPr>
              <w:t>「국세기본법」 제85조의3</w:t>
            </w:r>
          </w:p>
        </w:tc>
        <w:tc>
          <w:tcPr>
            <w:tcW w:type="dxa" w:w="3280"/>
          </w:tcPr>
          <w:p>
            <w:r/>
            <w:r>
              <w:rPr>
                <w:rFonts w:ascii="맑은 고딕" w:hAnsi="맑은 고딕" w:eastAsia="맑은 고딕"/>
                <w:sz w:val="19"/>
              </w:rPr>
              <w:t>5년</w:t>
            </w:r>
          </w:p>
        </w:tc>
      </w:tr>
    </w:tbl>
    <w:p/>
    <w:p>
      <w:r>
        <w:rPr>
          <w:rFonts w:ascii="맑은 고딕" w:hAnsi="맑은 고딕" w:eastAsia="맑은 고딕"/>
          <w:sz w:val="21"/>
        </w:rPr>
        <w:t>③ 예울마루는 주민등록번호를 수집·보관하지 않습니다. 회원가입 시 본인확인은 「정보통신망 이용촉진 및 정보보호 등에 관한 법률」 제23조의3에 따라 지정된 본인확인기관(NICE평가정보㈜)을 통하여 이루어지며, 예울마루는 본인확인기관으로부터 인증 결과와 연계정보(CI)·중복가입확인정보(DI)만을 수신합니다. 성인 관람 등급 공연의 예매 시에도 동일한 방식으로 연령 확인만 이루어집니다.</w:t>
      </w:r>
    </w:p>
    <w:p>
      <w:r>
        <w:rPr>
          <w:rFonts w:ascii="맑은 고딕" w:hAnsi="맑은 고딕" w:eastAsia="맑은 고딕"/>
          <w:sz w:val="21"/>
        </w:rPr>
        <w:t>④ 만 14세 미만 아동의 회원가입은 받지 않습니다. 만 14세 미만 아동을 위한 예매·수강신청은 법정대리인이 본인 명의로 진행하여야 합니다.</w:t>
      </w:r>
    </w:p>
    <w:p>
      <w:r>
        <w:rPr>
          <w:rFonts w:ascii="맑은 고딕" w:hAnsi="맑은 고딕" w:eastAsia="맑은 고딕"/>
          <w:sz w:val="21"/>
        </w:rPr>
        <w:t>⑤ 최종 접속일로부터 2년간 서비스를 이용하지 않은 회원의 계정은 휴면계정으로 전환됩니다. 휴면계정의 개인정보는 회원 탈퇴 또는 삭제 요청이 있을 때까지 보유합니다. 휴면계정 전환 30일 전에 회원가입 시 등록된 이메일로 전환 예정 사실을 안내하며, 휴면 상태의 회원이 다시 로그인하거나 본인확인을 거쳐 해제를 요청하면 정상 계정으로 복구합니다. 휴면계정으로 전환된 회원에게는 마케팅 정보를 발송하지 않습니다.</w:t>
      </w:r>
    </w:p>
    <w:p>
      <w:pPr>
        <w:spacing w:before="200" w:after="80"/>
      </w:pPr>
      <w:r>
        <w:rPr>
          <w:rFonts w:ascii="맑은 고딕" w:hAnsi="맑은 고딕" w:eastAsia="맑은 고딕"/>
          <w:b/>
          <w:sz w:val="26"/>
        </w:rPr>
        <w:t>제2조 (개인정보의 제3자 제공)</w:t>
      </w:r>
    </w:p>
    <w:p>
      <w:r>
        <w:rPr>
          <w:rFonts w:ascii="맑은 고딕" w:hAnsi="맑은 고딕" w:eastAsia="맑은 고딕"/>
          <w:sz w:val="21"/>
        </w:rPr>
        <w:t>① 예울마루는 정보주체의 개인정보를 제1조에서 명시한 범위 내에서만 처리하며, 다음의 경우를 제외하고는 정보주체의 동의 없이 개인정보를 제3자에게 제공하지 않습니다.</w:t>
      </w:r>
    </w:p>
    <w:p>
      <w:pPr>
        <w:ind w:left="240"/>
      </w:pPr>
      <w:r>
        <w:rPr>
          <w:rFonts w:ascii="맑은 고딕" w:hAnsi="맑은 고딕" w:eastAsia="맑은 고딕"/>
          <w:sz w:val="21"/>
        </w:rPr>
        <w:t>1. 정보주체로부터 별도의 동의를 받은 경우</w:t>
      </w:r>
    </w:p>
    <w:p>
      <w:pPr>
        <w:ind w:left="240"/>
      </w:pPr>
      <w:r>
        <w:rPr>
          <w:rFonts w:ascii="맑은 고딕" w:hAnsi="맑은 고딕" w:eastAsia="맑은 고딕"/>
          <w:sz w:val="21"/>
        </w:rPr>
        <w:t>2. 다른 법률에 특별한 규정이 있는 경우</w:t>
      </w:r>
    </w:p>
    <w:p>
      <w:pPr>
        <w:ind w:left="240"/>
      </w:pPr>
      <w:r>
        <w:rPr>
          <w:rFonts w:ascii="맑은 고딕" w:hAnsi="맑은 고딕" w:eastAsia="맑은 고딕"/>
          <w:sz w:val="21"/>
        </w:rPr>
        <w:t>3. 정보주체 또는 그 법정대리인이 의사표시를 할 수 없는 상태에 있거나 주소불명 등으로 사전 동의를 받을 수 없는 경우로서 명백히 정보주체 또는 제3자의 급박한 생명·신체·재산의 이익을 위하여 필요하다고 인정되는 경우</w:t>
      </w:r>
    </w:p>
    <w:p>
      <w:pPr>
        <w:ind w:left="240"/>
      </w:pPr>
      <w:r>
        <w:rPr>
          <w:rFonts w:ascii="맑은 고딕" w:hAnsi="맑은 고딕" w:eastAsia="맑은 고딕"/>
          <w:sz w:val="21"/>
        </w:rPr>
        <w:t>4. 그 밖에 「개인정보 보호법」 제17조 및 제18조에서 허용하는 경우</w:t>
      </w:r>
    </w:p>
    <w:p>
      <w:r>
        <w:rPr>
          <w:rFonts w:ascii="맑은 고딕" w:hAnsi="맑은 고딕" w:eastAsia="맑은 고딕"/>
          <w:sz w:val="21"/>
        </w:rPr>
        <w:t>② 예울마루는 현재 정보주체의 개인정보를 제3자에게 정기적으로 제공하고 있지 않습니다. 향후 제3자 제공이 필요한 경우에는 제공받는 자, 제공 목적, 제공 항목, 보유·이용기간을 사전에 알리고 별도의 동의를 받겠습니다.</w:t>
      </w:r>
    </w:p>
    <w:p>
      <w:r>
        <w:rPr>
          <w:rFonts w:ascii="맑은 고딕" w:hAnsi="맑은 고딕" w:eastAsia="맑은 고딕"/>
          <w:sz w:val="21"/>
        </w:rPr>
        <w:t>③ 티켓링크(www.ticketlink.co.kr) 등 엔에이치엔링크㈜가 운영하는 자체 예매 채널에서 예울마루 공연을 예매한 고객의 개인정보는 엔에이치엔링크㈜가 자신의 개인정보 처리방침에 따라 처리합니다. 예울마루는 공연 주최자로서 다음과 같이 엔에이치엔링크㈜로부터 예매 정보를 제공받아 처리합니다.</w:t>
      </w:r>
    </w:p>
    <w:p>
      <w:pPr>
        <w:ind w:left="240"/>
      </w:pPr>
      <w:r>
        <w:rPr>
          <w:rFonts w:ascii="맑은 고딕" w:hAnsi="맑은 고딕" w:eastAsia="맑은 고딕"/>
          <w:sz w:val="21"/>
        </w:rPr>
        <w:t>1. 제공받는 항목: 예매자 성명, 휴대전화번호, 예매·취소·환불 내역(공연명, 회차, 좌석, 매수, 결제 금액·수단, 예매 경로), 엔에이치엔링크㈜가 제공하는 경우 연령대·성별·거주 지역(시·군 단위)</w:t>
      </w:r>
    </w:p>
    <w:p>
      <w:pPr>
        <w:ind w:left="240"/>
      </w:pPr>
      <w:r>
        <w:rPr>
          <w:rFonts w:ascii="맑은 고딕" w:hAnsi="맑은 고딕" w:eastAsia="맑은 고딕"/>
          <w:sz w:val="21"/>
        </w:rPr>
        <w:t>2. 이용 목적: 공연 입장 확인 및 현장 발권, 관람 안내, 공연 취소·변경·지연 통지, 환불 및 민원 처리, 관객 현황 통계 작성</w:t>
      </w:r>
    </w:p>
    <w:p>
      <w:pPr>
        <w:ind w:left="240"/>
      </w:pPr>
      <w:r>
        <w:rPr>
          <w:rFonts w:ascii="맑은 고딕" w:hAnsi="맑은 고딕" w:eastAsia="맑은 고딕"/>
          <w:sz w:val="21"/>
        </w:rPr>
        <w:t>3. 보유·이용 기간: 해당 공연 종료 후 3개월까지 보관 후 파기합니다. 다만 환불·민원 등 분쟁이 진행 중인 건은 처리가 완료될 때까지 다른 개인정보와 분리하여 보관한 후 파기합니다.</w:t>
      </w:r>
    </w:p>
    <w:p>
      <w:pPr>
        <w:ind w:left="240"/>
      </w:pPr>
      <w:r>
        <w:rPr>
          <w:rFonts w:ascii="맑은 고딕" w:hAnsi="맑은 고딕" w:eastAsia="맑은 고딕"/>
          <w:sz w:val="21"/>
        </w:rPr>
        <w:t>4. 통계 활용: 관객 현황 분석을 위하여 보관 기간이 지난 예매 정보는 성명·연락처 등 개인을 알아볼 수 있는 항목을 삭제하거나 마스킹 처리하고, 연령대·성별·거주 지역(시·군 단위)·예매 경로·회차별 매수 등 개인을 식별할 수 없는 형태로만 통계 자료로 보관·활용합니다.</w:t>
      </w:r>
    </w:p>
    <w:p>
      <w:pPr>
        <w:ind w:left="240"/>
      </w:pPr>
      <w:r>
        <w:rPr>
          <w:rFonts w:ascii="맑은 고딕" w:hAnsi="맑은 고딕" w:eastAsia="맑은 고딕"/>
          <w:sz w:val="21"/>
        </w:rPr>
        <w:t>5. 위 사항은 엔에이치엔링크㈜가 예매 고객으로부터 받은 제3자 제공 동의의 범위 내에서 이루어집니다.</w:t>
      </w:r>
    </w:p>
    <w:p>
      <w:pPr>
        <w:spacing w:before="200" w:after="80"/>
      </w:pPr>
      <w:r>
        <w:rPr>
          <w:rFonts w:ascii="맑은 고딕" w:hAnsi="맑은 고딕" w:eastAsia="맑은 고딕"/>
          <w:b/>
          <w:sz w:val="26"/>
        </w:rPr>
        <w:t>제3조 (개인정보 처리업무의 위탁)</w:t>
      </w:r>
    </w:p>
    <w:p>
      <w:r>
        <w:rPr>
          <w:rFonts w:ascii="맑은 고딕" w:hAnsi="맑은 고딕" w:eastAsia="맑은 고딕"/>
          <w:sz w:val="21"/>
        </w:rPr>
        <w:t>① 예울마루는 원활한 서비스 제공을 위하여 다음과 같이 개인정보 처리업무를 위탁하고 있습니다.</w:t>
      </w:r>
    </w:p>
    <w:tbl>
      <w:tblPr>
        <w:tblStyle w:val="TableGrid"/>
        <w:tblW w:type="auto" w:w="0"/>
        <w:tblLook w:firstColumn="1" w:firstRow="1" w:lastColumn="0" w:lastRow="0" w:noHBand="0" w:noVBand="1" w:val="04A0"/>
      </w:tblPr>
      <w:tblGrid>
        <w:gridCol w:w="3280"/>
        <w:gridCol w:w="3280"/>
        <w:gridCol w:w="3280"/>
      </w:tblGrid>
      <w:tr>
        <w:tc>
          <w:tcPr>
            <w:tcW w:type="dxa" w:w="3280"/>
            <w:shd w:val="clear" w:color="auto" w:fill="E7E6E6"/>
          </w:tcPr>
          <w:p>
            <w:r>
              <w:rPr>
                <w:b/>
              </w:rPr>
            </w:r>
            <w:r>
              <w:rPr>
                <w:rFonts w:ascii="맑은 고딕" w:hAnsi="맑은 고딕" w:eastAsia="맑은 고딕"/>
                <w:b/>
                <w:sz w:val="19"/>
              </w:rPr>
              <w:t>수탁자</w:t>
            </w:r>
          </w:p>
        </w:tc>
        <w:tc>
          <w:tcPr>
            <w:tcW w:type="dxa" w:w="3280"/>
            <w:shd w:val="clear" w:color="auto" w:fill="E7E6E6"/>
          </w:tcPr>
          <w:p>
            <w:r>
              <w:rPr>
                <w:b/>
              </w:rPr>
            </w:r>
            <w:r>
              <w:rPr>
                <w:rFonts w:ascii="맑은 고딕" w:hAnsi="맑은 고딕" w:eastAsia="맑은 고딕"/>
                <w:b/>
                <w:sz w:val="19"/>
              </w:rPr>
              <w:t>위탁 업무 내용</w:t>
            </w:r>
          </w:p>
        </w:tc>
        <w:tc>
          <w:tcPr>
            <w:tcW w:type="dxa" w:w="3280"/>
            <w:shd w:val="clear" w:color="auto" w:fill="E7E6E6"/>
          </w:tcPr>
          <w:p>
            <w:r>
              <w:rPr>
                <w:b/>
              </w:rPr>
            </w:r>
            <w:r>
              <w:rPr>
                <w:rFonts w:ascii="맑은 고딕" w:hAnsi="맑은 고딕" w:eastAsia="맑은 고딕"/>
                <w:b/>
                <w:sz w:val="19"/>
              </w:rPr>
              <w:t>개인정보 보유·이용기간</w:t>
            </w:r>
          </w:p>
        </w:tc>
      </w:tr>
      <w:tr>
        <w:tc>
          <w:tcPr>
            <w:tcW w:type="dxa" w:w="3280"/>
          </w:tcPr>
          <w:p>
            <w:r/>
            <w:r>
              <w:rPr>
                <w:rFonts w:ascii="맑은 고딕" w:hAnsi="맑은 고딕" w:eastAsia="맑은 고딕"/>
                <w:sz w:val="19"/>
              </w:rPr>
              <w:t>㈜인데이</w:t>
            </w:r>
          </w:p>
        </w:tc>
        <w:tc>
          <w:tcPr>
            <w:tcW w:type="dxa" w:w="3280"/>
          </w:tcPr>
          <w:p>
            <w:r/>
            <w:r>
              <w:rPr>
                <w:rFonts w:ascii="맑은 고딕" w:hAnsi="맑은 고딕" w:eastAsia="맑은 고딕"/>
                <w:sz w:val="19"/>
              </w:rPr>
              <w:t>홈페이지 구축·운영·유지보수, 회원 정보 DB 관리, 뉴스레터·이메일 및 공연 안내 문자·알림톡 발송</w:t>
            </w:r>
          </w:p>
        </w:tc>
        <w:tc>
          <w:tcPr>
            <w:tcW w:type="dxa" w:w="3280"/>
          </w:tcPr>
          <w:p>
            <w:r/>
            <w:r>
              <w:rPr>
                <w:rFonts w:ascii="맑은 고딕" w:hAnsi="맑은 고딕" w:eastAsia="맑은 고딕"/>
                <w:sz w:val="19"/>
              </w:rPr>
              <w:t>위탁계약 종료 시까지</w:t>
            </w:r>
          </w:p>
        </w:tc>
      </w:tr>
      <w:tr>
        <w:tc>
          <w:tcPr>
            <w:tcW w:type="dxa" w:w="3280"/>
          </w:tcPr>
          <w:p>
            <w:r/>
            <w:r>
              <w:rPr>
                <w:rFonts w:ascii="맑은 고딕" w:hAnsi="맑은 고딕" w:eastAsia="맑은 고딕"/>
                <w:sz w:val="19"/>
              </w:rPr>
              <w:t>엔에이치엔링크㈜ (티켓링크)</w:t>
            </w:r>
          </w:p>
        </w:tc>
        <w:tc>
          <w:tcPr>
            <w:tcW w:type="dxa" w:w="3280"/>
          </w:tcPr>
          <w:p>
            <w:r/>
            <w:r>
              <w:rPr>
                <w:rFonts w:ascii="맑은 고딕" w:hAnsi="맑은 고딕" w:eastAsia="맑은 고딕"/>
                <w:sz w:val="19"/>
              </w:rPr>
              <w:t>홈페이지 연동 티켓 예매시스템 운영, 티켓 판매·발권, 결제·환불·정산, 예매 관련 고객상담, 예매 확인·취소 알림(문자·알림톡·이메일) 발송, 매표소 현장 발권</w:t>
            </w:r>
          </w:p>
        </w:tc>
        <w:tc>
          <w:tcPr>
            <w:tcW w:type="dxa" w:w="3280"/>
          </w:tcPr>
          <w:p>
            <w:r/>
            <w:r>
              <w:rPr>
                <w:rFonts w:ascii="맑은 고딕" w:hAnsi="맑은 고딕" w:eastAsia="맑은 고딕"/>
                <w:sz w:val="19"/>
              </w:rPr>
              <w:t>위탁계약 종료 시까지</w:t>
            </w:r>
          </w:p>
        </w:tc>
      </w:tr>
      <w:tr>
        <w:tc>
          <w:tcPr>
            <w:tcW w:type="dxa" w:w="3280"/>
          </w:tcPr>
          <w:p>
            <w:r/>
            <w:r>
              <w:rPr>
                <w:rFonts w:ascii="맑은 고딕" w:hAnsi="맑은 고딕" w:eastAsia="맑은 고딕"/>
                <w:sz w:val="19"/>
              </w:rPr>
              <w:t>NICE평가정보㈜</w:t>
            </w:r>
          </w:p>
        </w:tc>
        <w:tc>
          <w:tcPr>
            <w:tcW w:type="dxa" w:w="3280"/>
          </w:tcPr>
          <w:p>
            <w:r/>
            <w:r>
              <w:rPr>
                <w:rFonts w:ascii="맑은 고딕" w:hAnsi="맑은 고딕" w:eastAsia="맑은 고딕"/>
                <w:sz w:val="19"/>
              </w:rPr>
              <w:t>휴대폰 본인인증, 아이핀 본인인증</w:t>
            </w:r>
          </w:p>
        </w:tc>
        <w:tc>
          <w:tcPr>
            <w:tcW w:type="dxa" w:w="3280"/>
          </w:tcPr>
          <w:p>
            <w:r/>
            <w:r>
              <w:rPr>
                <w:rFonts w:ascii="맑은 고딕" w:hAnsi="맑은 고딕" w:eastAsia="맑은 고딕"/>
                <w:sz w:val="19"/>
              </w:rPr>
              <w:t>본인확인기관이 자체 방침에 따라 보관 (예울마루는 인증 결과만 수신)</w:t>
            </w:r>
          </w:p>
        </w:tc>
      </w:tr>
    </w:tbl>
    <w:p/>
    <w:p>
      <w:r>
        <w:rPr>
          <w:rFonts w:ascii="맑은 고딕" w:hAnsi="맑은 고딕" w:eastAsia="맑은 고딕"/>
          <w:sz w:val="21"/>
        </w:rPr>
        <w:t>② 엔에이치엔링크㈜는 위탁받은 업무의 일부를 예울마루의 동의를 받아 다음과 같이 재위탁하고 있습니다(「개인정보 보호법」 제26조제2항·제6항).</w:t>
      </w:r>
    </w:p>
    <w:tbl>
      <w:tblPr>
        <w:tblStyle w:val="TableGrid"/>
        <w:tblW w:type="auto" w:w="0"/>
        <w:tblLook w:firstColumn="1" w:firstRow="1" w:lastColumn="0" w:lastRow="0" w:noHBand="0" w:noVBand="1" w:val="04A0"/>
      </w:tblPr>
      <w:tblGrid>
        <w:gridCol w:w="4920"/>
        <w:gridCol w:w="4920"/>
      </w:tblGrid>
      <w:tr>
        <w:tc>
          <w:tcPr>
            <w:tcW w:type="dxa" w:w="4920"/>
            <w:shd w:val="clear" w:color="auto" w:fill="E7E6E6"/>
          </w:tcPr>
          <w:p>
            <w:r>
              <w:rPr>
                <w:b/>
              </w:rPr>
            </w:r>
            <w:r>
              <w:rPr>
                <w:rFonts w:ascii="맑은 고딕" w:hAnsi="맑은 고딕" w:eastAsia="맑은 고딕"/>
                <w:b/>
                <w:sz w:val="19"/>
              </w:rPr>
              <w:t>재수탁자</w:t>
            </w:r>
          </w:p>
        </w:tc>
        <w:tc>
          <w:tcPr>
            <w:tcW w:type="dxa" w:w="4920"/>
            <w:shd w:val="clear" w:color="auto" w:fill="E7E6E6"/>
          </w:tcPr>
          <w:p>
            <w:r>
              <w:rPr>
                <w:b/>
              </w:rPr>
            </w:r>
            <w:r>
              <w:rPr>
                <w:rFonts w:ascii="맑은 고딕" w:hAnsi="맑은 고딕" w:eastAsia="맑은 고딕"/>
                <w:b/>
                <w:sz w:val="19"/>
              </w:rPr>
              <w:t>재위탁 업무 내용</w:t>
            </w:r>
          </w:p>
        </w:tc>
      </w:tr>
      <w:tr>
        <w:tc>
          <w:tcPr>
            <w:tcW w:type="dxa" w:w="4920"/>
          </w:tcPr>
          <w:p>
            <w:r/>
            <w:r>
              <w:rPr>
                <w:rFonts w:ascii="맑은 고딕" w:hAnsi="맑은 고딕" w:eastAsia="맑은 고딕"/>
                <w:sz w:val="19"/>
              </w:rPr>
              <w:t>엔에이치엔서비스㈜</w:t>
            </w:r>
          </w:p>
        </w:tc>
        <w:tc>
          <w:tcPr>
            <w:tcW w:type="dxa" w:w="4920"/>
          </w:tcPr>
          <w:p>
            <w:r/>
            <w:r>
              <w:rPr>
                <w:rFonts w:ascii="맑은 고딕" w:hAnsi="맑은 고딕" w:eastAsia="맑은 고딕"/>
                <w:sz w:val="19"/>
              </w:rPr>
              <w:t>예매 고객상담</w:t>
            </w:r>
          </w:p>
        </w:tc>
      </w:tr>
      <w:tr>
        <w:tc>
          <w:tcPr>
            <w:tcW w:type="dxa" w:w="4920"/>
          </w:tcPr>
          <w:p>
            <w:r/>
            <w:r>
              <w:rPr>
                <w:rFonts w:ascii="맑은 고딕" w:hAnsi="맑은 고딕" w:eastAsia="맑은 고딕"/>
                <w:sz w:val="19"/>
              </w:rPr>
              <w:t>엔에이치엔페이코㈜</w:t>
            </w:r>
          </w:p>
        </w:tc>
        <w:tc>
          <w:tcPr>
            <w:tcW w:type="dxa" w:w="4920"/>
          </w:tcPr>
          <w:p>
            <w:r/>
            <w:r>
              <w:rPr>
                <w:rFonts w:ascii="맑은 고딕" w:hAnsi="맑은 고딕" w:eastAsia="맑은 고딕"/>
                <w:sz w:val="19"/>
              </w:rPr>
              <w:t>신용카드·현금·소액결제 등 결제서비스, 현금영수증 발급</w:t>
            </w:r>
          </w:p>
        </w:tc>
      </w:tr>
      <w:tr>
        <w:tc>
          <w:tcPr>
            <w:tcW w:type="dxa" w:w="4920"/>
          </w:tcPr>
          <w:p>
            <w:r/>
            <w:r>
              <w:rPr>
                <w:rFonts w:ascii="맑은 고딕" w:hAnsi="맑은 고딕" w:eastAsia="맑은 고딕"/>
                <w:sz w:val="19"/>
              </w:rPr>
              <w:t>엔에이치엔클라우드㈜</w:t>
            </w:r>
          </w:p>
        </w:tc>
        <w:tc>
          <w:tcPr>
            <w:tcW w:type="dxa" w:w="4920"/>
          </w:tcPr>
          <w:p>
            <w:r/>
            <w:r>
              <w:rPr>
                <w:rFonts w:ascii="맑은 고딕" w:hAnsi="맑은 고딕" w:eastAsia="맑은 고딕"/>
                <w:sz w:val="19"/>
              </w:rPr>
              <w:t>인프라·클라우드 운영, 카카오 알림톡·문자·이메일 발송 대행</w:t>
            </w:r>
          </w:p>
        </w:tc>
      </w:tr>
      <w:tr>
        <w:tc>
          <w:tcPr>
            <w:tcW w:type="dxa" w:w="4920"/>
          </w:tcPr>
          <w:p>
            <w:r/>
            <w:r>
              <w:rPr>
                <w:rFonts w:ascii="맑은 고딕" w:hAnsi="맑은 고딕" w:eastAsia="맑은 고딕"/>
                <w:sz w:val="19"/>
              </w:rPr>
              <w:t>㈜케이지모빌리언스</w:t>
            </w:r>
          </w:p>
        </w:tc>
        <w:tc>
          <w:tcPr>
            <w:tcW w:type="dxa" w:w="4920"/>
          </w:tcPr>
          <w:p>
            <w:r/>
            <w:r>
              <w:rPr>
                <w:rFonts w:ascii="맑은 고딕" w:hAnsi="맑은 고딕" w:eastAsia="맑은 고딕"/>
                <w:sz w:val="19"/>
              </w:rPr>
              <w:t>휴대폰 결제 대행</w:t>
            </w:r>
          </w:p>
        </w:tc>
      </w:tr>
      <w:tr>
        <w:tc>
          <w:tcPr>
            <w:tcW w:type="dxa" w:w="4920"/>
          </w:tcPr>
          <w:p>
            <w:r/>
            <w:r>
              <w:rPr>
                <w:rFonts w:ascii="맑은 고딕" w:hAnsi="맑은 고딕" w:eastAsia="맑은 고딕"/>
                <w:sz w:val="19"/>
              </w:rPr>
              <w:t>㈜헥토파이낸셜</w:t>
            </w:r>
          </w:p>
        </w:tc>
        <w:tc>
          <w:tcPr>
            <w:tcW w:type="dxa" w:w="4920"/>
          </w:tcPr>
          <w:p>
            <w:r/>
            <w:r>
              <w:rPr>
                <w:rFonts w:ascii="맑은 고딕" w:hAnsi="맑은 고딕" w:eastAsia="맑은 고딕"/>
                <w:sz w:val="19"/>
              </w:rPr>
              <w:t>환불계좌 인증</w:t>
            </w:r>
          </w:p>
        </w:tc>
      </w:tr>
      <w:tr>
        <w:tc>
          <w:tcPr>
            <w:tcW w:type="dxa" w:w="4920"/>
          </w:tcPr>
          <w:p>
            <w:r/>
            <w:r>
              <w:rPr>
                <w:rFonts w:ascii="맑은 고딕" w:hAnsi="맑은 고딕" w:eastAsia="맑은 고딕"/>
                <w:sz w:val="19"/>
              </w:rPr>
              <w:t>㈜제니엘시스템</w:t>
            </w:r>
          </w:p>
        </w:tc>
        <w:tc>
          <w:tcPr>
            <w:tcW w:type="dxa" w:w="4920"/>
          </w:tcPr>
          <w:p>
            <w:r/>
            <w:r>
              <w:rPr>
                <w:rFonts w:ascii="맑은 고딕" w:hAnsi="맑은 고딕" w:eastAsia="맑은 고딕"/>
                <w:sz w:val="19"/>
              </w:rPr>
              <w:t>배송 및 MD(굿즈) 상품 관리 (해당 계약 체결 시)</w:t>
            </w:r>
          </w:p>
        </w:tc>
      </w:tr>
      <w:tr>
        <w:tc>
          <w:tcPr>
            <w:tcW w:type="dxa" w:w="4920"/>
          </w:tcPr>
          <w:p>
            <w:r/>
            <w:r>
              <w:rPr>
                <w:rFonts w:ascii="맑은 고딕" w:hAnsi="맑은 고딕" w:eastAsia="맑은 고딕"/>
                <w:sz w:val="19"/>
              </w:rPr>
              <w:t>㈜부스터랩</w:t>
            </w:r>
          </w:p>
        </w:tc>
        <w:tc>
          <w:tcPr>
            <w:tcW w:type="dxa" w:w="4920"/>
          </w:tcPr>
          <w:p>
            <w:r/>
            <w:r>
              <w:rPr>
                <w:rFonts w:ascii="맑은 고딕" w:hAnsi="맑은 고딕" w:eastAsia="맑은 고딕"/>
                <w:sz w:val="19"/>
              </w:rPr>
              <w:t>디지털 티켓 제작·발급, 입장·현장운영 (디지털 티켓 진행 시)</w:t>
            </w:r>
          </w:p>
        </w:tc>
      </w:tr>
      <w:tr>
        <w:tc>
          <w:tcPr>
            <w:tcW w:type="dxa" w:w="4920"/>
          </w:tcPr>
          <w:p>
            <w:r/>
            <w:r>
              <w:rPr>
                <w:rFonts w:ascii="맑은 고딕" w:hAnsi="맑은 고딕" w:eastAsia="맑은 고딕"/>
                <w:sz w:val="19"/>
              </w:rPr>
              <w:t>㈜메크로인</w:t>
            </w:r>
          </w:p>
        </w:tc>
        <w:tc>
          <w:tcPr>
            <w:tcW w:type="dxa" w:w="4920"/>
          </w:tcPr>
          <w:p>
            <w:r/>
            <w:r>
              <w:rPr>
                <w:rFonts w:ascii="맑은 고딕" w:hAnsi="맑은 고딕" w:eastAsia="맑은 고딕"/>
                <w:sz w:val="19"/>
              </w:rPr>
              <w:t>매표소 등 현장 운영 인력 (현장 운영 진행 시)</w:t>
            </w:r>
          </w:p>
        </w:tc>
      </w:tr>
      <w:tr>
        <w:tc>
          <w:tcPr>
            <w:tcW w:type="dxa" w:w="4920"/>
          </w:tcPr>
          <w:p>
            <w:r/>
            <w:r>
              <w:rPr>
                <w:rFonts w:ascii="맑은 고딕" w:hAnsi="맑은 고딕" w:eastAsia="맑은 고딕"/>
                <w:sz w:val="19"/>
              </w:rPr>
              <w:t>LG유플러스㈜</w:t>
            </w:r>
          </w:p>
        </w:tc>
        <w:tc>
          <w:tcPr>
            <w:tcW w:type="dxa" w:w="4920"/>
          </w:tcPr>
          <w:p>
            <w:r/>
            <w:r>
              <w:rPr>
                <w:rFonts w:ascii="맑은 고딕" w:hAnsi="맑은 고딕" w:eastAsia="맑은 고딕"/>
                <w:sz w:val="19"/>
              </w:rPr>
              <w:t>문자 발송 대행 (필요 시)</w:t>
            </w:r>
          </w:p>
        </w:tc>
      </w:tr>
      <w:tr>
        <w:tc>
          <w:tcPr>
            <w:tcW w:type="dxa" w:w="4920"/>
          </w:tcPr>
          <w:p>
            <w:r/>
            <w:r>
              <w:rPr>
                <w:rFonts w:ascii="맑은 고딕" w:hAnsi="맑은 고딕" w:eastAsia="맑은 고딕"/>
                <w:sz w:val="19"/>
              </w:rPr>
              <w:t>㈜드림시큐리티</w:t>
            </w:r>
          </w:p>
        </w:tc>
        <w:tc>
          <w:tcPr>
            <w:tcW w:type="dxa" w:w="4920"/>
          </w:tcPr>
          <w:p>
            <w:r/>
            <w:r>
              <w:rPr>
                <w:rFonts w:ascii="맑은 고딕" w:hAnsi="맑은 고딕" w:eastAsia="맑은 고딕"/>
                <w:sz w:val="19"/>
              </w:rPr>
              <w:t>기기 인증, 성인 인증 (필요 시)</w:t>
            </w:r>
          </w:p>
        </w:tc>
      </w:tr>
    </w:tbl>
    <w:p/>
    <w:p>
      <w:r>
        <w:rPr>
          <w:rFonts w:ascii="맑은 고딕" w:hAnsi="맑은 고딕" w:eastAsia="맑은 고딕"/>
          <w:sz w:val="21"/>
        </w:rPr>
        <w:t>③ 예울마루는 위탁계약 체결 시 「개인정보 보호법」 제26조에 따라 위탁업무 수행 목적 외 개인정보 처리 금지, 기술적·관리적 보호조치, 재위탁 제한, 수탁자에 대한 관리·감독, 손해배상 등 책임에 관한 사항을 계약서 및 개인정보 보안관리 약정서에 명시하고, 연 1회 이상 수탁자의 개인정보 처리 현황을 점검합니다.</w:t>
      </w:r>
    </w:p>
    <w:p>
      <w:r>
        <w:rPr>
          <w:rFonts w:ascii="맑은 고딕" w:hAnsi="맑은 고딕" w:eastAsia="맑은 고딕"/>
          <w:sz w:val="21"/>
        </w:rPr>
        <w:t>④ 위탁업무의 내용이나 수탁자가 변경될 경우에는 지체 없이 본 개인정보 처리방침을 통하여 공개합니다.</w:t>
      </w:r>
    </w:p>
    <w:p>
      <w:r>
        <w:rPr>
          <w:rFonts w:ascii="맑은 고딕" w:hAnsi="맑은 고딕" w:eastAsia="맑은 고딕"/>
          <w:sz w:val="21"/>
        </w:rPr>
        <w:t>⑤ (변경 이력) 2026. 6. 30. 티켓 판매대행 및 홈페이지 회원 연동 서비스 수탁자였던 ㈜놀유니버스(舊 ㈜인터파크트리플)와의 위탁계약이 종료되었습니다. 예울마루는 2026. 9. 1. 해당 수탁자가 보유하던 예매·회원 연동 정보의 파기를 「개인정보 보호법」 제21조 및 시행령 제16조에 따라 요청하였으며, 파기 완료가 확인되면 그 일자를 본 항에 반영합니다.</w:t>
      </w:r>
    </w:p>
    <w:p>
      <w:pPr>
        <w:spacing w:before="200" w:after="80"/>
      </w:pPr>
      <w:r>
        <w:rPr>
          <w:rFonts w:ascii="맑은 고딕" w:hAnsi="맑은 고딕" w:eastAsia="맑은 고딕"/>
          <w:b/>
          <w:sz w:val="26"/>
        </w:rPr>
        <w:t>제4조 (개인정보의 파기 절차 및 방법)</w:t>
      </w:r>
    </w:p>
    <w:p>
      <w:r>
        <w:rPr>
          <w:rFonts w:ascii="맑은 고딕" w:hAnsi="맑은 고딕" w:eastAsia="맑은 고딕"/>
          <w:sz w:val="21"/>
        </w:rPr>
        <w:t>① 예울마루는 보유기간의 경과, 처리 목적 달성 등 개인정보가 불필요하게 되었을 때에는 지체 없이 해당 개인정보를 파기합니다.</w:t>
      </w:r>
    </w:p>
    <w:p>
      <w:r>
        <w:rPr>
          <w:rFonts w:ascii="맑은 고딕" w:hAnsi="맑은 고딕" w:eastAsia="맑은 고딕"/>
          <w:sz w:val="21"/>
        </w:rPr>
        <w:t>② 정보주체로부터 동의받은 보유기간이 경과하거나 처리 목적이 달성되었음에도 다른 법령에 따라 개인정보를 계속 보존하여야 하는 경우에는 해당 개인정보를 별도의 데이터베이스(DB)로 옮기거나 보관 장소를 달리하여 분리 보존하며, 보존 목적 외의 용도로 이용하지 않습니다.</w:t>
      </w:r>
    </w:p>
    <w:p>
      <w:r>
        <w:rPr>
          <w:rFonts w:ascii="맑은 고딕" w:hAnsi="맑은 고딕" w:eastAsia="맑은 고딕"/>
          <w:sz w:val="21"/>
        </w:rPr>
        <w:t>③ 파기 절차: 파기 사유가 발생한 개인정보를 선정하고, 개인정보 보호책임자의 승인을 받아 파기합니다. 수탁자가 보유한 개인정보는 위탁계약 종료 시 수탁자로부터 파기확인서를 받아 파기 여부를 확인합니다.</w:t>
      </w:r>
    </w:p>
    <w:p>
      <w:r>
        <w:rPr>
          <w:rFonts w:ascii="맑은 고딕" w:hAnsi="맑은 고딕" w:eastAsia="맑은 고딕"/>
          <w:sz w:val="21"/>
        </w:rPr>
        <w:t>④ 파기 방법: 전자적 파일 형태의 정보는 복원이 불가능한 방법으로 영구 삭제하고, 종이 문서에 기록·저장된 개인정보는 분쇄기로 분쇄하거나 소각하여 파기합니다(시행령 제16조).</w:t>
      </w:r>
    </w:p>
    <w:p>
      <w:pPr>
        <w:spacing w:before="200" w:after="80"/>
      </w:pPr>
      <w:r>
        <w:rPr>
          <w:rFonts w:ascii="맑은 고딕" w:hAnsi="맑은 고딕" w:eastAsia="맑은 고딕"/>
          <w:b/>
          <w:sz w:val="26"/>
        </w:rPr>
        <w:t>제5조 (정보주체와 법정대리인의 권리·의무 및 행사 방법)</w:t>
      </w:r>
    </w:p>
    <w:p>
      <w:r>
        <w:rPr>
          <w:rFonts w:ascii="맑은 고딕" w:hAnsi="맑은 고딕" w:eastAsia="맑은 고딕"/>
          <w:sz w:val="21"/>
        </w:rPr>
        <w:t>① 정보주체는 예울마루에 대하여 언제든지 개인정보 열람, 정정·삭제, 처리정지, 동의 철회를 요구할 수 있습니다.</w:t>
      </w:r>
    </w:p>
    <w:p>
      <w:r>
        <w:rPr>
          <w:rFonts w:ascii="맑은 고딕" w:hAnsi="맑은 고딕" w:eastAsia="맑은 고딕"/>
          <w:sz w:val="21"/>
        </w:rPr>
        <w:t>② 권리 행사는 홈페이지 마이페이지(회원정보 수정·탈퇴), 서면, 전화, 전자우편 등을 통하여 할 수 있으며, 예울마루는 요구를 받은 날부터 10일 이내에 조치 결과를 알려드립니다.</w:t>
      </w:r>
    </w:p>
    <w:p>
      <w:r>
        <w:rPr>
          <w:rFonts w:ascii="맑은 고딕" w:hAnsi="맑은 고딕" w:eastAsia="맑은 고딕"/>
          <w:sz w:val="21"/>
        </w:rPr>
        <w:t>③ 권리 행사는 정보주체의 법정대리인이나 위임을 받은 자 등 대리인을 통하여서도 할 수 있습니다. 이 경우 개인정보보호위원회 고시 「개인정보 처리 방법에 관한 고시」에서 정한 위임장을 제출하여야 합니다.</w:t>
      </w:r>
    </w:p>
    <w:p>
      <w:r>
        <w:rPr>
          <w:rFonts w:ascii="맑은 고딕" w:hAnsi="맑은 고딕" w:eastAsia="맑은 고딕"/>
          <w:sz w:val="21"/>
        </w:rPr>
        <w:t>④ 열람 및 처리정지 요구는 「개인정보 보호법」 제35조제4항, 제37조제2항에 따라 제한될 수 있으며, 다른 법령에서 수집 대상으로 명시된 개인정보는 삭제를 요구할 수 없습니다.</w:t>
      </w:r>
    </w:p>
    <w:p>
      <w:r>
        <w:rPr>
          <w:rFonts w:ascii="맑은 고딕" w:hAnsi="맑은 고딕" w:eastAsia="맑은 고딕"/>
          <w:sz w:val="21"/>
        </w:rPr>
        <w:t>⑤ 예울마루는 권리 행사를 요구한 자가 본인이거나 정당한 대리인인지를 확인합니다.</w:t>
      </w:r>
    </w:p>
    <w:p>
      <w:r>
        <w:rPr>
          <w:rFonts w:ascii="맑은 고딕" w:hAnsi="맑은 고딕" w:eastAsia="맑은 고딕"/>
          <w:sz w:val="21"/>
        </w:rPr>
        <w:t>⑥ 정보주체는 「개인정보 보호법」 등 관계 법령을 위반하여 예울마루가 처리하고 있는 정보주체 본인이나 타인의 개인정보 및 사생활을 침해하여서는 아니 됩니다.</w:t>
      </w:r>
    </w:p>
    <w:p>
      <w:pPr>
        <w:spacing w:before="200" w:after="80"/>
      </w:pPr>
      <w:r>
        <w:rPr>
          <w:rFonts w:ascii="맑은 고딕" w:hAnsi="맑은 고딕" w:eastAsia="맑은 고딕"/>
          <w:b/>
          <w:sz w:val="26"/>
        </w:rPr>
        <w:t>제6조 (개인정보의 안전성 확보 조치)</w:t>
      </w:r>
    </w:p>
    <w:p>
      <w:r>
        <w:rPr>
          <w:rFonts w:ascii="맑은 고딕" w:hAnsi="맑은 고딕" w:eastAsia="맑은 고딕"/>
          <w:sz w:val="21"/>
        </w:rPr>
        <w:t>예울마루는 「개인정보 보호법」 제29조 및 「개인정보의 안전성 확보조치 기준」에 따라 다음의 조치를 취하고 있습니다.</w:t>
      </w:r>
    </w:p>
    <w:p>
      <w:pPr>
        <w:ind w:left="240"/>
      </w:pPr>
      <w:r>
        <w:rPr>
          <w:rFonts w:ascii="맑은 고딕" w:hAnsi="맑은 고딕" w:eastAsia="맑은 고딕"/>
          <w:sz w:val="21"/>
        </w:rPr>
        <w:t>1. 관리적 조치: 내부관리계획 수립·시행, 개인정보취급자 최소화 및 정기 교육, 수탁자 개인정보 보호조치 연 1회 이상 점검</w:t>
      </w:r>
    </w:p>
    <w:p>
      <w:pPr>
        <w:ind w:left="240"/>
      </w:pPr>
      <w:r>
        <w:rPr>
          <w:rFonts w:ascii="맑은 고딕" w:hAnsi="맑은 고딕" w:eastAsia="맑은 고딕"/>
          <w:sz w:val="21"/>
        </w:rPr>
        <w:t>2. 기술적 조치: 개인정보처리시스템 접근권한의 차등 부여·변경·말소 및 기록 보관(3년), 접근통제시스템 운영, 비밀번호 등 인증정보의 암호화, 접속기록 보관(1년 이상) 및 점검, 보안프로그램 설치·갱신</w:t>
      </w:r>
    </w:p>
    <w:p>
      <w:pPr>
        <w:ind w:left="240"/>
      </w:pPr>
      <w:r>
        <w:rPr>
          <w:rFonts w:ascii="맑은 고딕" w:hAnsi="맑은 고딕" w:eastAsia="맑은 고딕"/>
          <w:sz w:val="21"/>
        </w:rPr>
        <w:t>3. 물리적 조치: 전산실·자료보관실 등의 출입통제, 개인정보가 포함된 서류·보조저장매체의 잠금장치 보관</w:t>
      </w:r>
    </w:p>
    <w:p>
      <w:pPr>
        <w:ind w:left="240"/>
      </w:pPr>
      <w:r>
        <w:rPr>
          <w:rFonts w:ascii="맑은 고딕" w:hAnsi="맑은 고딕" w:eastAsia="맑은 고딕"/>
          <w:sz w:val="21"/>
        </w:rPr>
        <w:t>4. 개인정보 손해배상책임 보장을 위한 보험 가입</w:t>
      </w:r>
    </w:p>
    <w:p>
      <w:pPr>
        <w:spacing w:before="200" w:after="80"/>
      </w:pPr>
      <w:r>
        <w:rPr>
          <w:rFonts w:ascii="맑은 고딕" w:hAnsi="맑은 고딕" w:eastAsia="맑은 고딕"/>
          <w:b/>
          <w:sz w:val="26"/>
        </w:rPr>
        <w:t>제7조 (개인정보 자동 수집 장치의 설치·운영 및 거부)</w:t>
      </w:r>
    </w:p>
    <w:p>
      <w:r>
        <w:rPr>
          <w:rFonts w:ascii="맑은 고딕" w:hAnsi="맑은 고딕" w:eastAsia="맑은 고딕"/>
          <w:sz w:val="21"/>
        </w:rPr>
        <w:t>① 예울마루는 이용자에게 개별적인 맞춤 서비스를 제공하기 위하여 이용 정보를 저장하고 수시로 불러오는 '쿠키(cookie)'를 사용합니다.</w:t>
      </w:r>
    </w:p>
    <w:p>
      <w:r>
        <w:rPr>
          <w:rFonts w:ascii="맑은 고딕" w:hAnsi="맑은 고딕" w:eastAsia="맑은 고딕"/>
          <w:sz w:val="21"/>
        </w:rPr>
        <w:t>② 쿠키는 웹사이트를 운영하는 서버가 이용자의 브라우저에 보내는 소량의 정보이며 이용자 PC의 하드디스크에 저장됩니다.</w:t>
      </w:r>
    </w:p>
    <w:p>
      <w:pPr>
        <w:ind w:left="240"/>
      </w:pPr>
      <w:r>
        <w:rPr>
          <w:rFonts w:ascii="맑은 고딕" w:hAnsi="맑은 고딕" w:eastAsia="맑은 고딕"/>
          <w:sz w:val="21"/>
        </w:rPr>
        <w:t>1. 사용 목적: 로그인 상태 유지, 방문 및 이용 형태 파악, 보안 접속 여부 확인 등을 통한 최적화된 정보 제공</w:t>
      </w:r>
    </w:p>
    <w:p>
      <w:pPr>
        <w:ind w:left="240"/>
      </w:pPr>
      <w:r>
        <w:rPr>
          <w:rFonts w:ascii="맑은 고딕" w:hAnsi="맑은 고딕" w:eastAsia="맑은 고딕"/>
          <w:sz w:val="21"/>
        </w:rPr>
        <w:t>2. 거부 방법: 웹브라우저 상단의 도구 &gt; 인터넷 옵션(설정) &gt; 개인정보 메뉴에서 쿠키 허용·차단 여부를 선택할 수 있습니다.</w:t>
      </w:r>
    </w:p>
    <w:p>
      <w:pPr>
        <w:ind w:left="240"/>
      </w:pPr>
      <w:r>
        <w:rPr>
          <w:rFonts w:ascii="맑은 고딕" w:hAnsi="맑은 고딕" w:eastAsia="맑은 고딕"/>
          <w:sz w:val="21"/>
        </w:rPr>
        <w:t>3. 쿠키 저장을 거부할 경우 로그인이 필요한 일부 서비스 이용에 어려움이 발생할 수 있습니다.</w:t>
      </w:r>
    </w:p>
    <w:p>
      <w:r>
        <w:rPr>
          <w:rFonts w:ascii="맑은 고딕" w:hAnsi="맑은 고딕" w:eastAsia="맑은 고딕"/>
          <w:sz w:val="21"/>
        </w:rPr>
        <w:t>③ 예울마루는 서비스 이용 현황 분석을 위하여 Google LLC가 제공하는 웹 로그 분석 도구인 Google Analytics 4(GA4)를 사용합니다.</w:t>
      </w:r>
    </w:p>
    <w:p>
      <w:pPr>
        <w:ind w:left="240"/>
      </w:pPr>
      <w:r>
        <w:rPr>
          <w:rFonts w:ascii="맑은 고딕" w:hAnsi="맑은 고딕" w:eastAsia="맑은 고딕"/>
          <w:sz w:val="21"/>
        </w:rPr>
        <w:t>1. 수집 항목: 쿠키를 통한 임의의 식별자(Client ID), 접속 일시, 방문 페이지, 이용 기기·브라우저 정보, 접속 지역(IP 주소는 GA4에서 저장되지 않고 대략적인 지역 정보로만 처리됨)</w:t>
      </w:r>
    </w:p>
    <w:p>
      <w:pPr>
        <w:ind w:left="240"/>
      </w:pPr>
      <w:r>
        <w:rPr>
          <w:rFonts w:ascii="맑은 고딕" w:hAnsi="맑은 고딕" w:eastAsia="맑은 고딕"/>
          <w:sz w:val="21"/>
        </w:rPr>
        <w:t>2. 이용 목적: 홈페이지 방문·이용 통계 분석 및 서비스 개선. 이용자 개인을 식별하는 용도로는 사용하지 않습니다.</w:t>
      </w:r>
    </w:p>
    <w:p>
      <w:pPr>
        <w:ind w:left="240"/>
      </w:pPr>
      <w:r>
        <w:rPr>
          <w:rFonts w:ascii="맑은 고딕" w:hAnsi="맑은 고딕" w:eastAsia="맑은 고딕"/>
          <w:sz w:val="21"/>
        </w:rPr>
        <w:t>3. 보유 기간: 수집일로부터 14개월</w:t>
      </w:r>
    </w:p>
    <w:p>
      <w:pPr>
        <w:ind w:left="240"/>
      </w:pPr>
      <w:r>
        <w:rPr>
          <w:rFonts w:ascii="맑은 고딕" w:hAnsi="맑은 고딕" w:eastAsia="맑은 고딕"/>
          <w:sz w:val="21"/>
        </w:rPr>
        <w:t>4. 거부 방법: 웹브라우저의 쿠키 차단 설정 또는 Google Analytics 차단 브라우저 부가기능(https://tools.google.com/dlpage/gaoptout) 설치를 통하여 수집을 거부할 수 있습니다. 거부하여도 홈페이지 이용에는 제한이 없습니다.</w:t>
      </w:r>
    </w:p>
    <w:p>
      <w:pPr>
        <w:spacing w:before="200" w:after="80"/>
      </w:pPr>
      <w:r>
        <w:rPr>
          <w:rFonts w:ascii="맑은 고딕" w:hAnsi="맑은 고딕" w:eastAsia="맑은 고딕"/>
          <w:b/>
          <w:sz w:val="26"/>
        </w:rPr>
        <w:t>제8조 (개인정보 보호책임자 및 담당부서)</w:t>
      </w:r>
    </w:p>
    <w:p>
      <w:r>
        <w:rPr>
          <w:rFonts w:ascii="맑은 고딕" w:hAnsi="맑은 고딕" w:eastAsia="맑은 고딕"/>
          <w:sz w:val="21"/>
        </w:rPr>
        <w:t>① 예울마루는 개인정보 처리에 관한 업무를 총괄하여 책임지고, 개인정보 처리와 관련한 정보주체의 불만 처리 및 피해 구제 등을 위하여 아래와 같이 개인정보 보호책임자를 지정하고 있습니다.</w:t>
      </w:r>
    </w:p>
    <w:tbl>
      <w:tblPr>
        <w:tblStyle w:val="TableGrid"/>
        <w:tblW w:type="auto" w:w="0"/>
        <w:tblLook w:firstColumn="1" w:firstRow="1" w:lastColumn="0" w:lastRow="0" w:noHBand="0" w:noVBand="1" w:val="04A0"/>
      </w:tblPr>
      <w:tblGrid>
        <w:gridCol w:w="3280"/>
        <w:gridCol w:w="3280"/>
        <w:gridCol w:w="3280"/>
      </w:tblGrid>
      <w:tr>
        <w:tc>
          <w:tcPr>
            <w:tcW w:type="dxa" w:w="3280"/>
            <w:shd w:val="clear" w:color="auto" w:fill="E7E6E6"/>
          </w:tcPr>
          <w:p>
            <w:r>
              <w:rPr>
                <w:b/>
              </w:rPr>
            </w:r>
            <w:r>
              <w:rPr>
                <w:rFonts w:ascii="맑은 고딕" w:hAnsi="맑은 고딕" w:eastAsia="맑은 고딕"/>
                <w:b/>
                <w:sz w:val="19"/>
              </w:rPr>
              <w:t>구분</w:t>
            </w:r>
          </w:p>
        </w:tc>
        <w:tc>
          <w:tcPr>
            <w:tcW w:type="dxa" w:w="3280"/>
            <w:shd w:val="clear" w:color="auto" w:fill="E7E6E6"/>
          </w:tcPr>
          <w:p>
            <w:r>
              <w:rPr>
                <w:b/>
              </w:rPr>
            </w:r>
            <w:r>
              <w:rPr>
                <w:rFonts w:ascii="맑은 고딕" w:hAnsi="맑은 고딕" w:eastAsia="맑은 고딕"/>
                <w:b/>
                <w:sz w:val="19"/>
              </w:rPr>
              <w:t>성명·직위</w:t>
            </w:r>
          </w:p>
        </w:tc>
        <w:tc>
          <w:tcPr>
            <w:tcW w:type="dxa" w:w="3280"/>
            <w:shd w:val="clear" w:color="auto" w:fill="E7E6E6"/>
          </w:tcPr>
          <w:p>
            <w:r>
              <w:rPr>
                <w:b/>
              </w:rPr>
            </w:r>
            <w:r>
              <w:rPr>
                <w:rFonts w:ascii="맑은 고딕" w:hAnsi="맑은 고딕" w:eastAsia="맑은 고딕"/>
                <w:b/>
                <w:sz w:val="19"/>
              </w:rPr>
              <w:t>연락처</w:t>
            </w:r>
          </w:p>
        </w:tc>
      </w:tr>
      <w:tr>
        <w:tc>
          <w:tcPr>
            <w:tcW w:type="dxa" w:w="3280"/>
          </w:tcPr>
          <w:p>
            <w:r/>
            <w:r>
              <w:rPr>
                <w:rFonts w:ascii="맑은 고딕" w:hAnsi="맑은 고딕" w:eastAsia="맑은 고딕"/>
                <w:sz w:val="19"/>
              </w:rPr>
              <w:t>개인정보 보호책임자</w:t>
            </w:r>
          </w:p>
        </w:tc>
        <w:tc>
          <w:tcPr>
            <w:tcW w:type="dxa" w:w="3280"/>
          </w:tcPr>
          <w:p>
            <w:r/>
            <w:r>
              <w:rPr>
                <w:rFonts w:ascii="맑은 고딕" w:hAnsi="맑은 고딕" w:eastAsia="맑은 고딕"/>
                <w:sz w:val="19"/>
              </w:rPr>
              <w:t>GS칼텍스 예울마루 관장 박필규</w:t>
            </w:r>
          </w:p>
        </w:tc>
        <w:tc>
          <w:tcPr>
            <w:tcW w:type="dxa" w:w="3280"/>
          </w:tcPr>
          <w:p>
            <w:r/>
            <w:r>
              <w:rPr>
                <w:rFonts w:ascii="맑은 고딕" w:hAnsi="맑은 고딕" w:eastAsia="맑은 고딕"/>
                <w:sz w:val="19"/>
              </w:rPr>
              <w:t>전화 1544-7669 / 이메일 re7273@gscf.or.kr</w:t>
            </w:r>
          </w:p>
        </w:tc>
      </w:tr>
      <w:tr>
        <w:tc>
          <w:tcPr>
            <w:tcW w:type="dxa" w:w="3280"/>
          </w:tcPr>
          <w:p>
            <w:r/>
            <w:r>
              <w:rPr>
                <w:rFonts w:ascii="맑은 고딕" w:hAnsi="맑은 고딕" w:eastAsia="맑은 고딕"/>
                <w:sz w:val="19"/>
              </w:rPr>
              <w:t>개인정보 보호 담당부서</w:t>
            </w:r>
          </w:p>
        </w:tc>
        <w:tc>
          <w:tcPr>
            <w:tcW w:type="dxa" w:w="3280"/>
          </w:tcPr>
          <w:p>
            <w:r/>
            <w:r>
              <w:rPr>
                <w:rFonts w:ascii="맑은 고딕" w:hAnsi="맑은 고딕" w:eastAsia="맑은 고딕"/>
                <w:sz w:val="19"/>
              </w:rPr>
              <w:t>예술사업팀 황세웅 선임</w:t>
            </w:r>
          </w:p>
        </w:tc>
        <w:tc>
          <w:tcPr>
            <w:tcW w:type="dxa" w:w="3280"/>
          </w:tcPr>
          <w:p>
            <w:r/>
            <w:r>
              <w:rPr>
                <w:rFonts w:ascii="맑은 고딕" w:hAnsi="맑은 고딕" w:eastAsia="맑은 고딕"/>
                <w:sz w:val="19"/>
              </w:rPr>
              <w:t>전화 061-808-7004 / 이메일 ems1130@gscf.or.kr</w:t>
            </w:r>
          </w:p>
        </w:tc>
      </w:tr>
    </w:tbl>
    <w:p/>
    <w:p>
      <w:r>
        <w:rPr>
          <w:rFonts w:ascii="맑은 고딕" w:hAnsi="맑은 고딕" w:eastAsia="맑은 고딕"/>
          <w:sz w:val="21"/>
        </w:rPr>
        <w:t>② 정보주체는 예울마루의 서비스를 이용하면서 발생한 모든 개인정보 보호 관련 문의, 불만 처리, 피해 구제, 열람 청구 등에 관한 사항을 위 담당부서로 문의할 수 있으며, 예울마루는 지체 없이 답변·처리합니다.</w:t>
      </w:r>
    </w:p>
    <w:p>
      <w:pPr>
        <w:spacing w:before="200" w:after="80"/>
      </w:pPr>
      <w:r>
        <w:rPr>
          <w:rFonts w:ascii="맑은 고딕" w:hAnsi="맑은 고딕" w:eastAsia="맑은 고딕"/>
          <w:b/>
          <w:sz w:val="26"/>
        </w:rPr>
        <w:t>제9조 (개인정보 열람청구 접수·처리 부서)</w:t>
      </w:r>
    </w:p>
    <w:p>
      <w:r>
        <w:rPr>
          <w:rFonts w:ascii="맑은 고딕" w:hAnsi="맑은 고딕" w:eastAsia="맑은 고딕"/>
          <w:sz w:val="21"/>
        </w:rPr>
        <w:t>정보주체는 「개인정보 보호법」 제35조에 따른 개인정보 열람 청구를 제8조의 담당부서에 할 수 있습니다. 또한 개인정보보호위원회 '개인정보 포털'(www.privacy.go.kr)의 개인정보 열람 등 요구 서비스를 통하여서도 청구할 수 있습니다.</w:t>
      </w:r>
    </w:p>
    <w:p>
      <w:pPr>
        <w:spacing w:before="200" w:after="80"/>
      </w:pPr>
      <w:r>
        <w:rPr>
          <w:rFonts w:ascii="맑은 고딕" w:hAnsi="맑은 고딕" w:eastAsia="맑은 고딕"/>
          <w:b/>
          <w:sz w:val="26"/>
        </w:rPr>
        <w:t>제10조 (권익침해 구제 방법)</w:t>
      </w:r>
    </w:p>
    <w:p>
      <w:r>
        <w:rPr>
          <w:rFonts w:ascii="맑은 고딕" w:hAnsi="맑은 고딕" w:eastAsia="맑은 고딕"/>
          <w:sz w:val="21"/>
        </w:rPr>
        <w:t>정보주체는 개인정보 침해로 인한 구제를 받기 위하여 다음 기관에 분쟁 해결이나 상담 등을 신청할 수 있습니다. 이 밖에 개인정보 침해의 신고·상담에 대하여는 아래 기관에 문의하시기 바랍니다.</w:t>
      </w:r>
    </w:p>
    <w:p>
      <w:pPr>
        <w:ind w:left="240"/>
      </w:pPr>
      <w:r>
        <w:rPr>
          <w:rFonts w:ascii="맑은 고딕" w:hAnsi="맑은 고딕" w:eastAsia="맑은 고딕"/>
          <w:sz w:val="21"/>
        </w:rPr>
        <w:t>1. 개인정보 분쟁조정위원회: (국번 없이) 1833-6972 / www.kopico.go.kr</w:t>
      </w:r>
    </w:p>
    <w:p>
      <w:pPr>
        <w:ind w:left="240"/>
      </w:pPr>
      <w:r>
        <w:rPr>
          <w:rFonts w:ascii="맑은 고딕" w:hAnsi="맑은 고딕" w:eastAsia="맑은 고딕"/>
          <w:sz w:val="21"/>
        </w:rPr>
        <w:t>2. 개인정보침해 신고센터(한국인터넷진흥원): (국번 없이) 118 / privacy.kisa.or.kr</w:t>
      </w:r>
    </w:p>
    <w:p>
      <w:pPr>
        <w:ind w:left="240"/>
      </w:pPr>
      <w:r>
        <w:rPr>
          <w:rFonts w:ascii="맑은 고딕" w:hAnsi="맑은 고딕" w:eastAsia="맑은 고딕"/>
          <w:sz w:val="21"/>
        </w:rPr>
        <w:t>3. 대검찰청 사이버수사과: (국번 없이) 1301 / www.spo.go.kr</w:t>
      </w:r>
    </w:p>
    <w:p>
      <w:pPr>
        <w:ind w:left="240"/>
      </w:pPr>
      <w:r>
        <w:rPr>
          <w:rFonts w:ascii="맑은 고딕" w:hAnsi="맑은 고딕" w:eastAsia="맑은 고딕"/>
          <w:sz w:val="21"/>
        </w:rPr>
        <w:t>4. 경찰청 사이버수사국: (국번 없이) 182 / ecrm.police.go.kr</w:t>
      </w:r>
    </w:p>
    <w:p>
      <w:pPr>
        <w:spacing w:before="200" w:after="80"/>
      </w:pPr>
      <w:r>
        <w:rPr>
          <w:rFonts w:ascii="맑은 고딕" w:hAnsi="맑은 고딕" w:eastAsia="맑은 고딕"/>
          <w:b/>
          <w:sz w:val="26"/>
        </w:rPr>
        <w:t>제11조 (국외 이전, 가명정보, 자동화된 결정)</w:t>
      </w:r>
    </w:p>
    <w:p>
      <w:r>
        <w:rPr>
          <w:rFonts w:ascii="맑은 고딕" w:hAnsi="맑은 고딕" w:eastAsia="맑은 고딕"/>
          <w:sz w:val="21"/>
        </w:rPr>
        <w:t>① 예울마루는 아래와 같이 웹 로그 분석 과정에서 개인정보가 국외에서 처리됩니다. 그 외에는 개인정보를 국외로 이전하지 않습니다.</w:t>
      </w:r>
    </w:p>
    <w:tbl>
      <w:tblPr>
        <w:tblStyle w:val="TableGrid"/>
        <w:tblW w:type="auto" w:w="0"/>
        <w:tblLook w:firstColumn="1" w:firstRow="1" w:lastColumn="0" w:lastRow="0" w:noHBand="0" w:noVBand="1" w:val="04A0"/>
      </w:tblPr>
      <w:tblGrid>
        <w:gridCol w:w="4920"/>
        <w:gridCol w:w="4920"/>
      </w:tblGrid>
      <w:tr>
        <w:tc>
          <w:tcPr>
            <w:tcW w:type="dxa" w:w="4920"/>
            <w:shd w:val="clear" w:color="auto" w:fill="E7E6E6"/>
          </w:tcPr>
          <w:p>
            <w:r>
              <w:rPr>
                <w:b/>
              </w:rPr>
            </w:r>
            <w:r>
              <w:rPr>
                <w:rFonts w:ascii="맑은 고딕" w:hAnsi="맑은 고딕" w:eastAsia="맑은 고딕"/>
                <w:b/>
                <w:sz w:val="19"/>
              </w:rPr>
              <w:t>구분</w:t>
            </w:r>
          </w:p>
        </w:tc>
        <w:tc>
          <w:tcPr>
            <w:tcW w:type="dxa" w:w="4920"/>
            <w:shd w:val="clear" w:color="auto" w:fill="E7E6E6"/>
          </w:tcPr>
          <w:p>
            <w:r>
              <w:rPr>
                <w:b/>
              </w:rPr>
            </w:r>
            <w:r>
              <w:rPr>
                <w:rFonts w:ascii="맑은 고딕" w:hAnsi="맑은 고딕" w:eastAsia="맑은 고딕"/>
                <w:b/>
                <w:sz w:val="19"/>
              </w:rPr>
              <w:t>내용</w:t>
            </w:r>
          </w:p>
        </w:tc>
      </w:tr>
      <w:tr>
        <w:tc>
          <w:tcPr>
            <w:tcW w:type="dxa" w:w="4920"/>
          </w:tcPr>
          <w:p>
            <w:r/>
            <w:r>
              <w:rPr>
                <w:rFonts w:ascii="맑은 고딕" w:hAnsi="맑은 고딕" w:eastAsia="맑은 고딕"/>
                <w:sz w:val="19"/>
              </w:rPr>
              <w:t>이전받는 자</w:t>
            </w:r>
          </w:p>
        </w:tc>
        <w:tc>
          <w:tcPr>
            <w:tcW w:type="dxa" w:w="4920"/>
          </w:tcPr>
          <w:p>
            <w:r/>
            <w:r>
              <w:rPr>
                <w:rFonts w:ascii="맑은 고딕" w:hAnsi="맑은 고딕" w:eastAsia="맑은 고딕"/>
                <w:sz w:val="19"/>
              </w:rPr>
              <w:t>Google LLC (개인정보 관련 문의: privacy.google.com)</w:t>
            </w:r>
          </w:p>
        </w:tc>
      </w:tr>
      <w:tr>
        <w:tc>
          <w:tcPr>
            <w:tcW w:type="dxa" w:w="4920"/>
          </w:tcPr>
          <w:p>
            <w:r/>
            <w:r>
              <w:rPr>
                <w:rFonts w:ascii="맑은 고딕" w:hAnsi="맑은 고딕" w:eastAsia="맑은 고딕"/>
                <w:sz w:val="19"/>
              </w:rPr>
              <w:t>이전되는 국가</w:t>
            </w:r>
          </w:p>
        </w:tc>
        <w:tc>
          <w:tcPr>
            <w:tcW w:type="dxa" w:w="4920"/>
          </w:tcPr>
          <w:p>
            <w:r/>
            <w:r>
              <w:rPr>
                <w:rFonts w:ascii="맑은 고딕" w:hAnsi="맑은 고딕" w:eastAsia="맑은 고딕"/>
                <w:sz w:val="19"/>
              </w:rPr>
              <w:t>미국</w:t>
            </w:r>
          </w:p>
        </w:tc>
      </w:tr>
      <w:tr>
        <w:tc>
          <w:tcPr>
            <w:tcW w:type="dxa" w:w="4920"/>
          </w:tcPr>
          <w:p>
            <w:r/>
            <w:r>
              <w:rPr>
                <w:rFonts w:ascii="맑은 고딕" w:hAnsi="맑은 고딕" w:eastAsia="맑은 고딕"/>
                <w:sz w:val="19"/>
              </w:rPr>
              <w:t>이전 일시 및 방법</w:t>
            </w:r>
          </w:p>
        </w:tc>
        <w:tc>
          <w:tcPr>
            <w:tcW w:type="dxa" w:w="4920"/>
          </w:tcPr>
          <w:p>
            <w:r/>
            <w:r>
              <w:rPr>
                <w:rFonts w:ascii="맑은 고딕" w:hAnsi="맑은 고딕" w:eastAsia="맑은 고딕"/>
                <w:sz w:val="19"/>
              </w:rPr>
              <w:t>이용자가 홈페이지에 접속할 때 네트워크를 통하여 자동 전송</w:t>
            </w:r>
          </w:p>
        </w:tc>
      </w:tr>
      <w:tr>
        <w:tc>
          <w:tcPr>
            <w:tcW w:type="dxa" w:w="4920"/>
          </w:tcPr>
          <w:p>
            <w:r/>
            <w:r>
              <w:rPr>
                <w:rFonts w:ascii="맑은 고딕" w:hAnsi="맑은 고딕" w:eastAsia="맑은 고딕"/>
                <w:sz w:val="19"/>
              </w:rPr>
              <w:t>이전 항목</w:t>
            </w:r>
          </w:p>
        </w:tc>
        <w:tc>
          <w:tcPr>
            <w:tcW w:type="dxa" w:w="4920"/>
          </w:tcPr>
          <w:p>
            <w:r/>
            <w:r>
              <w:rPr>
                <w:rFonts w:ascii="맑은 고딕" w:hAnsi="맑은 고딕" w:eastAsia="맑은 고딕"/>
                <w:sz w:val="19"/>
              </w:rPr>
              <w:t>제7조 ③의 수집 항목</w:t>
            </w:r>
          </w:p>
        </w:tc>
      </w:tr>
      <w:tr>
        <w:tc>
          <w:tcPr>
            <w:tcW w:type="dxa" w:w="4920"/>
          </w:tcPr>
          <w:p>
            <w:r/>
            <w:r>
              <w:rPr>
                <w:rFonts w:ascii="맑은 고딕" w:hAnsi="맑은 고딕" w:eastAsia="맑은 고딕"/>
                <w:sz w:val="19"/>
              </w:rPr>
              <w:t>이용 목적</w:t>
            </w:r>
          </w:p>
        </w:tc>
        <w:tc>
          <w:tcPr>
            <w:tcW w:type="dxa" w:w="4920"/>
          </w:tcPr>
          <w:p>
            <w:r/>
            <w:r>
              <w:rPr>
                <w:rFonts w:ascii="맑은 고딕" w:hAnsi="맑은 고딕" w:eastAsia="맑은 고딕"/>
                <w:sz w:val="19"/>
              </w:rPr>
              <w:t>홈페이지 이용 통계 분석</w:t>
            </w:r>
          </w:p>
        </w:tc>
      </w:tr>
      <w:tr>
        <w:tc>
          <w:tcPr>
            <w:tcW w:type="dxa" w:w="4920"/>
          </w:tcPr>
          <w:p>
            <w:r/>
            <w:r>
              <w:rPr>
                <w:rFonts w:ascii="맑은 고딕" w:hAnsi="맑은 고딕" w:eastAsia="맑은 고딕"/>
                <w:sz w:val="19"/>
              </w:rPr>
              <w:t>보유·이용 기간</w:t>
            </w:r>
          </w:p>
        </w:tc>
        <w:tc>
          <w:tcPr>
            <w:tcW w:type="dxa" w:w="4920"/>
          </w:tcPr>
          <w:p>
            <w:r/>
            <w:r>
              <w:rPr>
                <w:rFonts w:ascii="맑은 고딕" w:hAnsi="맑은 고딕" w:eastAsia="맑은 고딕"/>
                <w:sz w:val="19"/>
              </w:rPr>
              <w:t>제7조 ③의 보유 기간과 동일</w:t>
            </w:r>
          </w:p>
        </w:tc>
      </w:tr>
      <w:tr>
        <w:tc>
          <w:tcPr>
            <w:tcW w:type="dxa" w:w="4920"/>
          </w:tcPr>
          <w:p>
            <w:r/>
            <w:r>
              <w:rPr>
                <w:rFonts w:ascii="맑은 고딕" w:hAnsi="맑은 고딕" w:eastAsia="맑은 고딕"/>
                <w:sz w:val="19"/>
              </w:rPr>
              <w:t>이전 근거</w:t>
            </w:r>
          </w:p>
        </w:tc>
        <w:tc>
          <w:tcPr>
            <w:tcW w:type="dxa" w:w="4920"/>
          </w:tcPr>
          <w:p>
            <w:r/>
            <w:r>
              <w:rPr>
                <w:rFonts w:ascii="맑은 고딕" w:hAnsi="맑은 고딕" w:eastAsia="맑은 고딕"/>
                <w:sz w:val="19"/>
              </w:rPr>
              <w:t>「개인정보 보호법」 제28조의8 제1항 제3호(정보주체와의 계약 이행을 위한 처리 위탁), 처리방침 공개로 고지</w:t>
            </w:r>
          </w:p>
        </w:tc>
      </w:tr>
      <w:tr>
        <w:tc>
          <w:tcPr>
            <w:tcW w:type="dxa" w:w="4920"/>
          </w:tcPr>
          <w:p>
            <w:r/>
            <w:r>
              <w:rPr>
                <w:rFonts w:ascii="맑은 고딕" w:hAnsi="맑은 고딕" w:eastAsia="맑은 고딕"/>
                <w:sz w:val="19"/>
              </w:rPr>
              <w:t>거부 방법</w:t>
            </w:r>
          </w:p>
        </w:tc>
        <w:tc>
          <w:tcPr>
            <w:tcW w:type="dxa" w:w="4920"/>
          </w:tcPr>
          <w:p>
            <w:r/>
            <w:r>
              <w:rPr>
                <w:rFonts w:ascii="맑은 고딕" w:hAnsi="맑은 고딕" w:eastAsia="맑은 고딕"/>
                <w:sz w:val="19"/>
              </w:rPr>
              <w:t>제7조 ③의 거부 방법과 동일</w:t>
            </w:r>
          </w:p>
        </w:tc>
      </w:tr>
    </w:tbl>
    <w:p/>
    <w:p>
      <w:r>
        <w:rPr>
          <w:rFonts w:ascii="맑은 고딕" w:hAnsi="맑은 고딕" w:eastAsia="맑은 고딕"/>
          <w:sz w:val="21"/>
        </w:rPr>
        <w:t>② 예울마루는 가명정보를 처리하지 않습니다.</w:t>
      </w:r>
    </w:p>
    <w:p>
      <w:r>
        <w:rPr>
          <w:rFonts w:ascii="맑은 고딕" w:hAnsi="맑은 고딕" w:eastAsia="맑은 고딕"/>
          <w:sz w:val="21"/>
        </w:rPr>
        <w:t>③ 예울마루는 정보주체의 권리·의무에 중대한 영향을 미치는 완전히 자동화된 결정을 하지 않습니다.</w:t>
      </w:r>
    </w:p>
    <w:p>
      <w:pPr>
        <w:spacing w:before="200" w:after="80"/>
      </w:pPr>
      <w:r>
        <w:rPr>
          <w:rFonts w:ascii="맑은 고딕" w:hAnsi="맑은 고딕" w:eastAsia="맑은 고딕"/>
          <w:b/>
          <w:sz w:val="26"/>
        </w:rPr>
        <w:t>제12조 (개인정보 처리방침의 변경)</w:t>
      </w:r>
    </w:p>
    <w:p>
      <w:r>
        <w:rPr>
          <w:rFonts w:ascii="맑은 고딕" w:hAnsi="맑은 고딕" w:eastAsia="맑은 고딕"/>
          <w:sz w:val="21"/>
        </w:rPr>
        <w:t>① 이 개인정보 처리방침은 2026년 9월 4일부터 적용됩니다.</w:t>
      </w:r>
    </w:p>
    <w:p>
      <w:r>
        <w:rPr>
          <w:rFonts w:ascii="맑은 고딕" w:hAnsi="맑은 고딕" w:eastAsia="맑은 고딕"/>
          <w:sz w:val="21"/>
        </w:rPr>
        <w:t>② 개인정보 처리방침의 내용 추가·삭제 및 수정이 있을 경우 시행일 7일 전(정보주체의 권리에 중요한 변경이 있는 경우 30일 전)부터 홈페이지 공지사항을 통하여 고지합니다. 다만 수탁자 변경 등 법령에 따라 지체 없이 공개하여야 하는 사항은 즉시 반영하고 그 내용을 공지합니다.</w:t>
      </w:r>
    </w:p>
    <w:p>
      <w:r>
        <w:rPr>
          <w:rFonts w:ascii="맑은 고딕" w:hAnsi="맑은 고딕" w:eastAsia="맑은 고딕"/>
          <w:sz w:val="21"/>
        </w:rPr>
        <w:t>③ 이전의 개인정보 처리방침은 아래에서 확인할 수 있습니다.</w:t>
      </w:r>
    </w:p>
    <w:p>
      <w:pPr>
        <w:pStyle w:val="ListBullet"/>
      </w:pPr>
      <w:r>
        <w:rPr>
          <w:rFonts w:ascii="맑은 고딕" w:hAnsi="맑은 고딕" w:eastAsia="맑은 고딕"/>
          <w:sz w:val="21"/>
        </w:rPr>
        <w:t>2025. 2. 11. ~ 2026. 9. 3. 적용 [링크]</w:t>
      </w:r>
    </w:p>
    <w:p>
      <w:pPr>
        <w:pStyle w:val="ListBullet"/>
      </w:pPr>
      <w:r>
        <w:rPr>
          <w:rFonts w:ascii="맑은 고딕" w:hAnsi="맑은 고딕" w:eastAsia="맑은 고딕"/>
          <w:sz w:val="21"/>
        </w:rPr>
        <w:t>2025. 2. 11. 이전 [링크]</w:t>
      </w:r>
    </w:p>
    <w:p>
      <w:pPr>
        <w:spacing w:before="120"/>
      </w:pPr>
      <w:r>
        <w:rPr>
          <w:rFonts w:ascii="맑은 고딕" w:hAnsi="맑은 고딕" w:eastAsia="맑은 고딕"/>
          <w:b/>
          <w:sz w:val="23"/>
        </w:rPr>
        <w:t>주요 변경 내용 (2026. 9. 4.)</w:t>
      </w:r>
    </w:p>
    <w:p>
      <w:pPr>
        <w:pStyle w:val="ListBullet"/>
      </w:pPr>
      <w:r>
        <w:rPr>
          <w:rFonts w:ascii="맑은 고딕" w:hAnsi="맑은 고딕" w:eastAsia="맑은 고딕"/>
          <w:sz w:val="21"/>
        </w:rPr>
        <w:t>티켓 예매시스템 수탁자 변경: ㈜인터파크홀딩스(㈜놀유니버스) → 엔에이치엔링크㈜(티켓링크), 재수탁자 목록 신설</w:t>
      </w:r>
    </w:p>
    <w:p>
      <w:pPr>
        <w:pStyle w:val="ListBullet"/>
      </w:pPr>
      <w:r>
        <w:rPr>
          <w:rFonts w:ascii="맑은 고딕" w:hAnsi="맑은 고딕" w:eastAsia="맑은 고딕"/>
          <w:sz w:val="21"/>
        </w:rPr>
        <w:t>티켓링크 자체 채널 예매 고객 정보의 제공·이용 및 통계 활용에 관한 사항 신설(제2조 ③)</w:t>
      </w:r>
    </w:p>
    <w:p>
      <w:pPr>
        <w:pStyle w:val="ListBullet"/>
      </w:pPr>
      <w:r>
        <w:rPr>
          <w:rFonts w:ascii="맑은 고딕" w:hAnsi="맑은 고딕" w:eastAsia="맑은 고딕"/>
          <w:sz w:val="21"/>
        </w:rPr>
        <w:t>본인확인기관(NICE평가정보㈜) 위탁 사항 및 주민등록번호 미수집 원칙 명시</w:t>
      </w:r>
    </w:p>
    <w:p>
      <w:pPr>
        <w:pStyle w:val="ListBullet"/>
      </w:pPr>
      <w:r>
        <w:rPr>
          <w:rFonts w:ascii="맑은 고딕" w:hAnsi="맑은 고딕" w:eastAsia="맑은 고딕"/>
          <w:sz w:val="21"/>
        </w:rPr>
        <w:t>처리 목적·항목·보유기간을 표 형식으로 정비, 처리의 법적 근거 및 법정 보존 항목 추가</w:t>
      </w:r>
    </w:p>
    <w:p>
      <w:pPr>
        <w:pStyle w:val="ListBullet"/>
      </w:pPr>
      <w:r>
        <w:rPr>
          <w:rFonts w:ascii="맑은 고딕" w:hAnsi="맑은 고딕" w:eastAsia="맑은 고딕"/>
          <w:sz w:val="21"/>
        </w:rPr>
        <w:t>Google Analytics 4 사용 사실 및 국외 이전(Google LLC, 미국) 사항 신설(제7조 ③, 제11조 ①)</w:t>
      </w:r>
    </w:p>
    <w:p>
      <w:pPr>
        <w:pStyle w:val="ListBullet"/>
      </w:pPr>
      <w:r>
        <w:rPr>
          <w:rFonts w:ascii="맑은 고딕" w:hAnsi="맑은 고딕" w:eastAsia="맑은 고딕"/>
          <w:sz w:val="21"/>
        </w:rPr>
        <w:t>공공기관에만 적용되는 조항(개인정보파일 등록, 목적 외 이용 사유 일부, 행정심판 안내) 삭제, 오기(타 기관명) 정정</w:t>
      </w:r>
    </w:p>
    <w:p>
      <w:pPr>
        <w:pStyle w:val="ListBullet"/>
      </w:pPr>
      <w:r>
        <w:rPr>
          <w:rFonts w:ascii="맑은 고딕" w:hAnsi="맑은 고딕" w:eastAsia="맑은 고딕"/>
          <w:sz w:val="21"/>
        </w:rPr>
        <w:t>장기 미이용 회원의 휴면계정 전환 사항 명시(제1조 ⑤)</w:t>
      </w:r>
    </w:p>
    <w:p>
      <w:pPr>
        <w:pStyle w:val="ListBullet"/>
      </w:pPr>
      <w:r>
        <w:rPr>
          <w:rFonts w:ascii="맑은 고딕" w:hAnsi="맑은 고딕" w:eastAsia="맑은 고딕"/>
          <w:sz w:val="21"/>
        </w:rPr>
        <w:t>개인정보 보호책임자·담당부서 연락처 정비, 권익침해 구제기관 연락처 추가</w:t>
      </w:r>
    </w:p>
    <w:sectPr w:rsidR="00FC693F" w:rsidRPr="0006063C" w:rsidSect="00034616">
      <w:pgSz w:w="12240" w:h="15840"/>
      <w:pgMar w:top="1200" w:right="1200" w:bottom="1200" w:left="12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맑은 고딕" w:hAnsi="맑은 고딕" w:eastAsia="맑은 고딕"/>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